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C63FAE" w14:textId="06F714C6" w:rsidR="00A90A25" w:rsidRPr="00E33D64" w:rsidRDefault="00A90A25" w:rsidP="00E33D64">
      <w:pPr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bookmarkStart w:id="0" w:name="_GoBack"/>
      <w:bookmarkEnd w:id="0"/>
    </w:p>
    <w:p w14:paraId="71F9F42C" w14:textId="77777777" w:rsidR="00CB245A" w:rsidRPr="00A90A25" w:rsidRDefault="00CB245A" w:rsidP="0095714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A2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7C9A56B" wp14:editId="5DDBBFDA">
            <wp:extent cx="5940425" cy="149479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494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75BD71" w14:textId="77777777" w:rsidR="00A90A25" w:rsidRDefault="00A90A25" w:rsidP="0095714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C7D7AC" w14:textId="1E0D780F" w:rsidR="00393A5D" w:rsidRPr="00393A5D" w:rsidRDefault="00393A5D" w:rsidP="008B0EDB">
      <w:pPr>
        <w:tabs>
          <w:tab w:val="center" w:pos="5032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529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Цели устойчивого развития</w:t>
      </w:r>
    </w:p>
    <w:p w14:paraId="07B2C6C3" w14:textId="78272468" w:rsidR="00512BA1" w:rsidRPr="00512BA1" w:rsidRDefault="00512BA1" w:rsidP="00512BA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обеспечения адекватного ответа на угрозы формирования опасных условий для жизнедеятельности людей и преобладание потребительского направления социально-экономического развития, 193 государства на Генеральной Ассамблее ООН 25 сентября 2015 года приняли Резолюцию «Преобразование нашего мира: Повестка дня в области устойчивого развития на период до 2030 года» (Повестка-2030), которая определила на ближайшие 15 лет глобальную стратегию и Цели устойчивого развития (ЦУР). Основу Повестки-2030 составляют пять основных компонентов: люди, процветание, планета, партнерство и мир. 17 ЦУР и 169 подчиненных им задач направлены на обеспечение равномерного прогресса в трех основных аспектах устойчивого развития: экономического роста, социальной интеграции и охраны окружающей среды. Также определена необходимость отслеживания решения поставленных задач при помощи глобальных и национальных показателей. </w:t>
      </w:r>
    </w:p>
    <w:p w14:paraId="12FA35F8" w14:textId="39AC1622" w:rsidR="00512BA1" w:rsidRPr="00512BA1" w:rsidRDefault="00512BA1" w:rsidP="00512BA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BA1">
        <w:rPr>
          <w:rFonts w:ascii="Times New Roman" w:eastAsia="Times New Roman" w:hAnsi="Times New Roman" w:cs="Times New Roman"/>
          <w:sz w:val="24"/>
          <w:szCs w:val="24"/>
          <w:lang w:eastAsia="ru-RU"/>
        </w:rPr>
        <w:t>В 2015 году Республика Беларусь приняла обязательства по достижению ЦУР в рамках Повестки-2030 (обеспечение поступательного экономического роста, углубления социальной интеграции, внедрения новых экологических инициатив) и предпринимает усилия по их реализации на глобальном, национальном и региональном уровнях. Государства-члены Европейского региона, собравшиеся 21–22 октября 2015 г. в Минске (Беларусь) на Европейской министерской конференции ВОЗ «Охват всех этапов жизни в контексте положений политики Здоровье-2020», единодушно признали принцип охвата всех этапов жизни важнейшим шагом в реализации политики Здоровье-2020 и целей и задач, стоящих на Повестке дня ООН в области устойчивого развития на период до 2030 года.</w:t>
      </w:r>
      <w:r w:rsidR="004068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12B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Принятый принцип охвата всех этапов жизни состоит из следующих компонентов: действовать как можно раньше; действовать надлежащим образом по отношению к переходным этапам жизни; действовать сообща, силами всего общества.</w:t>
      </w:r>
    </w:p>
    <w:p w14:paraId="4ED26D64" w14:textId="5C1969B1" w:rsidR="00994097" w:rsidRDefault="00512BA1" w:rsidP="00512BA1">
      <w:pPr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highlight w:val="green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EB32327" w14:textId="5DD73B1B" w:rsidR="00DF5221" w:rsidRPr="00DF5221" w:rsidRDefault="00DF5221" w:rsidP="00290738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2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формирования четкого механизма реализации Повестки - 2030 и осуществления общей координации деятельности Республики Беларусь по достижению ЦУР, Указом Президента Республики Беларусь от 25 мая 2017 года № 181 «О Национальном координаторе по достижению Целей устойчивого развития» учрежден институт </w:t>
      </w:r>
      <w:r w:rsidRPr="00DF52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Национального координатора по достижению ЦУР</w:t>
      </w:r>
      <w:r w:rsidRPr="00DF5221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 w:rsidR="00D007AD" w:rsidRPr="006C6C4F"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="005C6FEF" w:rsidRPr="006C6C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007AD" w:rsidRPr="006C6C4F">
        <w:rPr>
          <w:rFonts w:ascii="Times New Roman" w:eastAsia="Times New Roman" w:hAnsi="Times New Roman" w:cs="Times New Roman"/>
          <w:sz w:val="24"/>
          <w:szCs w:val="24"/>
          <w:lang w:eastAsia="ru-RU"/>
        </w:rPr>
        <w:t>ноября</w:t>
      </w:r>
      <w:r w:rsidR="005C6FEF" w:rsidRPr="006C6C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D007AD" w:rsidRPr="006C6C4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5C6FEF" w:rsidRPr="006C6C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Национальным координатором по достижению Целей устойчивого развития назначен заместитель Председателя Совета Республики Национального собрания Республики Беларусь </w:t>
      </w:r>
      <w:r w:rsidR="0092407D" w:rsidRPr="006C6C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Владислав </w:t>
      </w:r>
      <w:proofErr w:type="spellStart"/>
      <w:r w:rsidR="0092407D" w:rsidRPr="006C6C4F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Татаринович</w:t>
      </w:r>
      <w:proofErr w:type="spellEnd"/>
      <w:r w:rsidR="005C6FEF" w:rsidRPr="006C6C4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C6FEF" w:rsidRPr="005C6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F522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Национальный координатор организует рассмотрение различных аспектов достижения ЦУР, вносит рекомендации по совершенствованию этого процесса, проводит мероприятия по продвижению ЦУР и ежегодно докладывает Президенту о прогрессе их достижения; представляет Республику Беларусь на международном уровне.</w:t>
      </w:r>
    </w:p>
    <w:p w14:paraId="4A0D020F" w14:textId="1841EFC5" w:rsidR="00DF5221" w:rsidRPr="00DF5221" w:rsidRDefault="00F16968" w:rsidP="00290738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9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 руководством Национального координатора сформирован </w:t>
      </w:r>
      <w:r w:rsidRPr="00F16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Совет по устойчивому развитию,</w:t>
      </w:r>
      <w:r w:rsidRPr="00F169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состав которого входят заместители руководителей государственных органов и иных организаций, ответственных за реализацию ЦУР. От </w:t>
      </w:r>
      <w:r w:rsidRPr="00F1696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Министерства здравоохранения Республики Беларусь в состав Совета входит заместитель Министра – Главный государственный санитарный врач Республики Беларусь. </w:t>
      </w:r>
    </w:p>
    <w:p w14:paraId="5835CB0B" w14:textId="77777777" w:rsidR="00116237" w:rsidRPr="00116237" w:rsidRDefault="00116237" w:rsidP="00116237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организации работы по достижению ЦУР в регионах и содействия их сбалансированному развитию созданы </w:t>
      </w:r>
      <w:r w:rsidRPr="001162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Региональные группы устойчивого развития</w:t>
      </w:r>
      <w:r w:rsidRPr="00116237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которые возглавляют члены Совета по устойчивому развитию – заместители председателей областных и Минского городского исполнительных комитетов. В Гомельской области организационно-методологическое обеспечение деятельности региональной группы по устойчивому развитию Гомельской области и секторальных групп в ее составе (по экономическим, экологическим и социальным вопросам) осуществляет комитет экономики Гомельского облисполкома. Руководителем региональной группы является заместитель председателя Гомельского облисполкома, курирующий вопросы экономики и экономической реформы, внешнеэкономической и банковской деятельности, налоговой и финансовой политики, топливно-энергетического комплекса, энергосбережения, статистического анализа, ценообразования, развития промышленности. Главный государственный санитарный врач Гомельской области включен в состав секторальной группы по экологическим вопросам, заместитель начальника главного управления по здравоохранению Гомельского облисполкома – в состав секторальной группы по социальным вопросам.</w:t>
      </w:r>
    </w:p>
    <w:p w14:paraId="7C245B93" w14:textId="22BB3E76" w:rsidR="00F70564" w:rsidRDefault="00116237" w:rsidP="00116237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Региональная группа по устойчивому развитию работает с </w:t>
      </w:r>
      <w:proofErr w:type="spellStart"/>
      <w:r w:rsidRPr="0011623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горрайисполкомами</w:t>
      </w:r>
      <w:proofErr w:type="spellEnd"/>
      <w:r w:rsidRPr="00116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вопросам достижения показателей ЦУР. На уровне административных территорий результаты мониторинга показателей ЦУР рассматриваются группами по устойчивому развитию при </w:t>
      </w:r>
      <w:proofErr w:type="spellStart"/>
      <w:r w:rsidRPr="0011623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горрайисполкомах</w:t>
      </w:r>
      <w:proofErr w:type="spellEnd"/>
      <w:r w:rsidRPr="00116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территориальными межведомственными комиссиями/советами по формированию здорового образа жизни, профилактике ВИЧ-инфекции и венерических заболеваний и достижению ЦУР на административной территории.</w:t>
      </w:r>
    </w:p>
    <w:p w14:paraId="2991B869" w14:textId="11326E01" w:rsidR="0085461D" w:rsidRPr="004878C8" w:rsidRDefault="0085461D" w:rsidP="006C6C4F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61D">
        <w:rPr>
          <w:rFonts w:ascii="Times New Roman" w:eastAsia="Times New Roman" w:hAnsi="Times New Roman" w:cs="Times New Roman"/>
          <w:sz w:val="24"/>
          <w:szCs w:val="24"/>
          <w:lang w:eastAsia="ru-RU"/>
        </w:rPr>
        <w:t>В 2025 году Правительством</w:t>
      </w:r>
      <w:r w:rsidR="003529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Беларусь</w:t>
      </w:r>
      <w:r w:rsidRPr="00854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была одобрена</w:t>
      </w:r>
      <w:r w:rsidRPr="008546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Национальная стратегия устойчивого развития на период до 2040 года</w:t>
      </w:r>
      <w:r w:rsidR="004878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="004878C8" w:rsidRPr="004878C8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Стратегическая цель НСУР-2040 - рост качества жизни населения. Среди ожидаемых результатов в сфере демографической безопасности – стабилизация численности населения и обеспечение перехода к устойчивому демографическому развитию, увеличение ожидаемой продолжительности жизни населения различных половозрастных и социальных групп, поддержка физического здоровья и стимулирование здорового образа жизни.</w:t>
      </w:r>
    </w:p>
    <w:p w14:paraId="44D0D85C" w14:textId="3C87F71B" w:rsidR="004878C8" w:rsidRDefault="003837FF" w:rsidP="006C6C4F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7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Региональной группой по устойчивому развитию Гомельского облисполкома при методическом руководстве НИЭИ Минэкономики разработан проект </w:t>
      </w:r>
      <w:r w:rsidRPr="003837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региональной стратегии устойчивого развития Гомельской области до 2040 года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5A34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5360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Среди приоритетов </w:t>
      </w:r>
      <w:r w:rsidR="009428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36075" w:rsidRPr="0053607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производственного потенциала региона, его технологическое обновление, создание новых производств, обеспечение трудовыми ресурсами;</w:t>
      </w:r>
      <w:r w:rsidR="009428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36075" w:rsidRPr="0053607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благоприятного инвестиционного климата для роста предпринимательской и инновационной активности;</w:t>
      </w:r>
      <w:r w:rsidR="009428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36075" w:rsidRPr="0053607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сохранение и умножение человеческого капитала;</w:t>
      </w:r>
      <w:r w:rsidR="009428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36075" w:rsidRPr="0053607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экологической устойчивости региона в соответствии с принципами зеленой и циркулярной экономики;</w:t>
      </w:r>
      <w:r w:rsidR="009428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36075" w:rsidRPr="0053607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устойчивости развития территорий, пострадавших в результате катастрофы на Чернобыльской АЭС.</w:t>
      </w:r>
    </w:p>
    <w:p w14:paraId="5610A231" w14:textId="77777777" w:rsidR="00A073B6" w:rsidRPr="00ED3E5E" w:rsidRDefault="00A073B6" w:rsidP="006C6C4F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</w:pPr>
    </w:p>
    <w:p w14:paraId="0CD9F20D" w14:textId="1A1CCA63" w:rsidR="0001209A" w:rsidRDefault="00CB245A" w:rsidP="00290738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A2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сведения о ЦУР, архитектура управления, руководства, стратегические и программные документы, логотипы ЦУР представлены на сайте «Цели устойчивого развития в Беларуси»</w:t>
      </w:r>
      <w:r w:rsidR="0001209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90A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A8DC53D" w14:textId="014B2A13" w:rsidR="004B679B" w:rsidRDefault="00896D54" w:rsidP="0001209A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history="1">
        <w:r w:rsidR="0001209A" w:rsidRPr="00FE761B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https://sdgs.by/</w:t>
        </w:r>
      </w:hyperlink>
      <w:r w:rsidR="004B6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8D5B31D" w14:textId="77777777" w:rsidR="0001209A" w:rsidRDefault="0001209A" w:rsidP="00290738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35392A" w14:textId="3D4E1DB0" w:rsidR="00CB245A" w:rsidRPr="00A90A25" w:rsidRDefault="004B679B" w:rsidP="00290738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Статистика показателей ЦУР представлена на официальном сайте Национального статистического комитета Республики Беларусь</w:t>
      </w:r>
      <w:r w:rsidR="000120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14:paraId="309BA3EC" w14:textId="585D41D9" w:rsidR="006F1E10" w:rsidRPr="0001209A" w:rsidRDefault="0001209A" w:rsidP="00957142">
      <w:pPr>
        <w:ind w:firstLine="709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eastAsia="ru-RU"/>
        </w:rPr>
      </w:pPr>
      <w:r w:rsidRPr="0001209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Национальная платформа представления отчетности по показателям ЦУР</w:t>
      </w:r>
    </w:p>
    <w:p w14:paraId="1149B6C3" w14:textId="41955037" w:rsidR="0001209A" w:rsidRDefault="00896D54" w:rsidP="00957142">
      <w:pPr>
        <w:ind w:firstLine="709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hyperlink r:id="rId10" w:history="1">
        <w:r w:rsidR="0001209A" w:rsidRPr="00FE761B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https://sdgplatform.belstat.gov.by/</w:t>
        </w:r>
      </w:hyperlink>
    </w:p>
    <w:p w14:paraId="3473F30C" w14:textId="77777777" w:rsidR="0001209A" w:rsidRDefault="0001209A" w:rsidP="00957142">
      <w:pPr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33152A" w14:textId="394558FF" w:rsidR="0001209A" w:rsidRPr="0001209A" w:rsidRDefault="0001209A" w:rsidP="00957142">
      <w:pPr>
        <w:ind w:firstLine="709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01209A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Платформа региональных данных по устойчивому развитию</w:t>
      </w:r>
    </w:p>
    <w:p w14:paraId="2795DBFC" w14:textId="115BBBC8" w:rsidR="0001209A" w:rsidRDefault="00896D54" w:rsidP="00957142">
      <w:pPr>
        <w:ind w:firstLine="709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hyperlink r:id="rId11" w:history="1">
        <w:r w:rsidR="0001209A" w:rsidRPr="00FE761B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https://sdgregions.belstat.gov.by/?regionId=all</w:t>
        </w:r>
      </w:hyperlink>
    </w:p>
    <w:p w14:paraId="502BC0D6" w14:textId="7707B4C3" w:rsidR="00881060" w:rsidRDefault="00896D54" w:rsidP="00957142">
      <w:pPr>
        <w:pStyle w:val="a4"/>
        <w:spacing w:before="0" w:beforeAutospacing="0" w:after="0" w:afterAutospacing="0"/>
      </w:pPr>
      <w:hyperlink r:id="rId12" w:history="1"/>
    </w:p>
    <w:p w14:paraId="7E00E664" w14:textId="621727C5" w:rsidR="00F97E69" w:rsidRPr="00F82109" w:rsidRDefault="0001209A" w:rsidP="00F82109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35295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Мониторинг д</w:t>
      </w:r>
      <w:r w:rsidR="00F97E69" w:rsidRPr="0035295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остижени</w:t>
      </w:r>
      <w:r w:rsidRPr="0035295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я показателей </w:t>
      </w:r>
      <w:r w:rsidR="00F97E69" w:rsidRPr="0035295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ЦУР.</w:t>
      </w:r>
    </w:p>
    <w:p w14:paraId="0393898F" w14:textId="77777777" w:rsidR="00F97E69" w:rsidRDefault="00F97E69" w:rsidP="00F97E69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A25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Достижение ЦУР в области здоровья – важная часть эффективной социальной политики государства на основе реализации комплексного подхода, скоординированных действий всех национальных партнеров в экономической, социальной и природоохранной сферах.</w:t>
      </w:r>
    </w:p>
    <w:p w14:paraId="00CB9B85" w14:textId="094B43AA" w:rsidR="00CB245A" w:rsidRPr="00A90A25" w:rsidRDefault="00CB245A" w:rsidP="00957142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A2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Координация деятельности Министерства здравоохранения Республики Беларусь (Минздрав) по управлению достижением показателей ЦУР возложена на Методический совет по мониторингу и оценке устойчивости развития во главе с заместителем Министра – Главным государственным санитарным врачом Республики Беларусь.</w:t>
      </w:r>
    </w:p>
    <w:p w14:paraId="1E19DE23" w14:textId="7BC3D72F" w:rsidR="00CB245A" w:rsidRPr="00A90A25" w:rsidRDefault="00CB245A" w:rsidP="00957142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A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соответствие с пунктом 5 протокола совещания Совета по устойчивому развитию от 14.12.2020 № 5 Минздрав определен ответственным за реализацию 33 национальных показателей из ЦУР № 2 </w:t>
      </w:r>
      <w:r w:rsidR="00585E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«Ликвидация голода» </w:t>
      </w:r>
      <w:r w:rsidRPr="00A90A25">
        <w:rPr>
          <w:rFonts w:ascii="Times New Roman" w:eastAsia="Times New Roman" w:hAnsi="Times New Roman" w:cs="Times New Roman"/>
          <w:sz w:val="24"/>
          <w:szCs w:val="24"/>
          <w:lang w:eastAsia="ru-RU"/>
        </w:rPr>
        <w:t>и № 3</w:t>
      </w:r>
      <w:r w:rsidR="00585E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«Хорошее здоровье и благополучие»</w:t>
      </w:r>
      <w:r w:rsidRPr="00A90A25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 этом ответственность за формирование (расчет) и предоставление в «Национальную платформу представления отчетности по достижению Целей устойчивого развития Республики Беларусь» возложена: на Минздрав – по 20 показателям (из них по 1 в качестве соисполнителя); на другие министерства и ведомства – по 13 показателям.</w:t>
      </w:r>
    </w:p>
    <w:p w14:paraId="616BAD9F" w14:textId="34CD38C8" w:rsidR="00CB245A" w:rsidRDefault="007B7788" w:rsidP="00957142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A25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Среди направлений деятельности учреждений государственного санитарного надзора – обеспечение устойчивого санитарно-эпидемиологического благополучия населения, участие в реализации государственной политики по оздоровлению среды жизнедеятельности, профилактике болезней и формированию здорового образа жизни населения.</w:t>
      </w:r>
      <w:r w:rsidR="00FC3C5F" w:rsidRPr="00A90A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Одной из задач является </w:t>
      </w:r>
      <w:r w:rsidR="00CB245A" w:rsidRPr="00A90A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мониторинг </w:t>
      </w:r>
      <w:r w:rsidR="00554393" w:rsidRPr="00A90A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достижения </w:t>
      </w:r>
      <w:r w:rsidR="00CB245A" w:rsidRPr="00A90A2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показателей</w:t>
      </w:r>
      <w:r w:rsidR="00554393" w:rsidRPr="00A90A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Целей устойчивого развития в области здоровья населения и качества окружающей среды, в том числе: </w:t>
      </w:r>
    </w:p>
    <w:p w14:paraId="7AF087FC" w14:textId="77777777" w:rsidR="00CB245A" w:rsidRPr="00A90A25" w:rsidRDefault="00CB245A" w:rsidP="00957142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A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3.3.1:</w:t>
      </w:r>
      <w:r w:rsidRPr="00A90A25">
        <w:rPr>
          <w:rFonts w:ascii="Times New Roman" w:eastAsia="Times New Roman" w:hAnsi="Times New Roman" w:cs="Times New Roman"/>
          <w:sz w:val="24"/>
          <w:szCs w:val="24"/>
          <w:lang w:eastAsia="ru-RU"/>
        </w:rPr>
        <w:t> «Число новых заражений ВИЧ на 1 000 неинфицированных в разбивке по полу и возрасту»;</w:t>
      </w:r>
    </w:p>
    <w:p w14:paraId="789DC12F" w14:textId="77777777" w:rsidR="00CB245A" w:rsidRPr="00A90A25" w:rsidRDefault="00CB245A" w:rsidP="00957142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A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3.3.3:</w:t>
      </w:r>
      <w:r w:rsidRPr="00A90A25">
        <w:rPr>
          <w:rFonts w:ascii="Times New Roman" w:eastAsia="Times New Roman" w:hAnsi="Times New Roman" w:cs="Times New Roman"/>
          <w:sz w:val="24"/>
          <w:szCs w:val="24"/>
          <w:lang w:eastAsia="ru-RU"/>
        </w:rPr>
        <w:t> «Заболеваемость малярией на 1 000 человек»;</w:t>
      </w:r>
    </w:p>
    <w:p w14:paraId="570924FB" w14:textId="77777777" w:rsidR="00CB245A" w:rsidRPr="00A90A25" w:rsidRDefault="00CB245A" w:rsidP="00957142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A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3.3.4:</w:t>
      </w:r>
      <w:r w:rsidRPr="00A90A25">
        <w:rPr>
          <w:rFonts w:ascii="Times New Roman" w:eastAsia="Times New Roman" w:hAnsi="Times New Roman" w:cs="Times New Roman"/>
          <w:sz w:val="24"/>
          <w:szCs w:val="24"/>
          <w:lang w:eastAsia="ru-RU"/>
        </w:rPr>
        <w:t> «Заболеваемость гепатитом В на 100 000 человек»;</w:t>
      </w:r>
    </w:p>
    <w:p w14:paraId="14DC833C" w14:textId="77777777" w:rsidR="00CA241A" w:rsidRPr="00A90A25" w:rsidRDefault="00CA241A" w:rsidP="00957142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A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3.3.5</w:t>
      </w:r>
      <w:r w:rsidRPr="00A90A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Число людей, нуждающихся в лечении от «забытых» тропических болезней;</w:t>
      </w:r>
    </w:p>
    <w:p w14:paraId="6AA3444D" w14:textId="77777777" w:rsidR="00CB245A" w:rsidRPr="00A90A25" w:rsidRDefault="00CB245A" w:rsidP="00957142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A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3.9.1:</w:t>
      </w:r>
      <w:r w:rsidRPr="00A90A25">
        <w:rPr>
          <w:rFonts w:ascii="Times New Roman" w:eastAsia="Times New Roman" w:hAnsi="Times New Roman" w:cs="Times New Roman"/>
          <w:sz w:val="24"/>
          <w:szCs w:val="24"/>
          <w:lang w:eastAsia="ru-RU"/>
        </w:rPr>
        <w:t> «Смертность от загрязнения воздуха в жилых помещениях и атмосферного воздуха»;</w:t>
      </w:r>
    </w:p>
    <w:p w14:paraId="14801DF5" w14:textId="77777777" w:rsidR="00CB245A" w:rsidRPr="00A90A25" w:rsidRDefault="00CB245A" w:rsidP="00957142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A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3.9.2:</w:t>
      </w:r>
      <w:r w:rsidRPr="00A90A25">
        <w:rPr>
          <w:rFonts w:ascii="Times New Roman" w:eastAsia="Times New Roman" w:hAnsi="Times New Roman" w:cs="Times New Roman"/>
          <w:sz w:val="24"/>
          <w:szCs w:val="24"/>
          <w:lang w:eastAsia="ru-RU"/>
        </w:rPr>
        <w:t> «Смертность от отсутствия безопасной воды, безопасной санитарии и гигиены (от отсутствия безопасных услуг в области водоснабжения, санитарии и гигиены (ВССГ) для всех»;</w:t>
      </w:r>
    </w:p>
    <w:p w14:paraId="120A0DA2" w14:textId="77777777" w:rsidR="000E0D0E" w:rsidRPr="00A90A25" w:rsidRDefault="000E0D0E" w:rsidP="00957142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A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3.а.1.1.</w:t>
      </w:r>
      <w:r w:rsidRPr="00A90A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Распространенность употребления табака лицами в возрасте 16 лет и старше (процент)</w:t>
      </w:r>
      <w:r w:rsidR="008F4C8D" w:rsidRPr="00A90A2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6B9BA39" w14:textId="77777777" w:rsidR="00CB245A" w:rsidRPr="00A90A25" w:rsidRDefault="00CB245A" w:rsidP="00957142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A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3.b.1:</w:t>
      </w:r>
      <w:r w:rsidRPr="00A90A25">
        <w:rPr>
          <w:rFonts w:ascii="Times New Roman" w:eastAsia="Times New Roman" w:hAnsi="Times New Roman" w:cs="Times New Roman"/>
          <w:sz w:val="24"/>
          <w:szCs w:val="24"/>
          <w:lang w:eastAsia="ru-RU"/>
        </w:rPr>
        <w:t> «Доля целевой группы населения, охваченная иммунизацией всеми вакцинами, включенными в национальные программы»;</w:t>
      </w:r>
    </w:p>
    <w:p w14:paraId="3E29E34A" w14:textId="77777777" w:rsidR="00CB245A" w:rsidRPr="00A90A25" w:rsidRDefault="00CB245A" w:rsidP="00957142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A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3.d.1:</w:t>
      </w:r>
      <w:r w:rsidRPr="00A90A25">
        <w:rPr>
          <w:rFonts w:ascii="Times New Roman" w:eastAsia="Times New Roman" w:hAnsi="Times New Roman" w:cs="Times New Roman"/>
          <w:sz w:val="24"/>
          <w:szCs w:val="24"/>
          <w:lang w:eastAsia="ru-RU"/>
        </w:rPr>
        <w:t> «Способность соблюдать Международные медико-санитарные правила (ММСП) и готовность к чрезвычайным ситуациям в области общественного здравоохранения»;</w:t>
      </w:r>
    </w:p>
    <w:p w14:paraId="68016BC4" w14:textId="77777777" w:rsidR="000E0D0E" w:rsidRPr="00A90A25" w:rsidRDefault="000E0D0E" w:rsidP="00957142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A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3.d.2.</w:t>
      </w:r>
      <w:r w:rsidRPr="00A90A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Процентная доля инфекций кровотока, вызываемых отдельными организмами, устойчивыми к противомикробным препаратам</w:t>
      </w:r>
      <w:r w:rsidR="008F4C8D" w:rsidRPr="00A90A2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9902EE6" w14:textId="77777777" w:rsidR="000E0D0E" w:rsidRPr="00A90A25" w:rsidRDefault="000E0D0E" w:rsidP="00957142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A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6.1.1.</w:t>
      </w:r>
      <w:r w:rsidRPr="00A90A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Доля населения, пользующегося услугами водоснабжения, организованного с соблюдением требований безопасности (процент)</w:t>
      </w:r>
      <w:r w:rsidR="008F4C8D" w:rsidRPr="00A90A2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B63E839" w14:textId="77777777" w:rsidR="000E0D0E" w:rsidRPr="00A90A25" w:rsidRDefault="000E0D0E" w:rsidP="00957142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A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6.2.1.1.</w:t>
      </w:r>
      <w:r w:rsidRPr="00A90A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Доля населения, использующего организованные с соблюдением требований безопасности услуги санитарии, включая устройства для мытья рук с мылом и водой (процент)</w:t>
      </w:r>
      <w:r w:rsidR="008F4C8D" w:rsidRPr="00A90A2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2D0B529" w14:textId="77777777" w:rsidR="000E0D0E" w:rsidRPr="00A90A25" w:rsidRDefault="000E0D0E" w:rsidP="00957142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A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6.3.1.</w:t>
      </w:r>
      <w:r w:rsidRPr="00A90A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Доля отведенных сточных вод, нормативно-очищенных на сооружениях очистки, в общем объеме нормативно-очищенных на </w:t>
      </w:r>
      <w:bookmarkStart w:id="1" w:name="_Hlk113620687"/>
      <w:r w:rsidRPr="00A90A2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сооружениях очистки и недостаточно очищенных сточных вод (процент)</w:t>
      </w:r>
      <w:bookmarkEnd w:id="1"/>
      <w:r w:rsidR="008F4C8D" w:rsidRPr="00A90A2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BC2D9A9" w14:textId="77777777" w:rsidR="00475782" w:rsidRPr="00A90A25" w:rsidRDefault="00475782" w:rsidP="00957142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A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6.а.1</w:t>
      </w:r>
      <w:r w:rsidRPr="00A90A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Объем официальной помощи в целях развития, выделенной на водоснабжение и санитарию в рамках координируемой государственной программы расходов</w:t>
      </w:r>
      <w:r w:rsidR="008F4C8D" w:rsidRPr="00A90A2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D24F438" w14:textId="77777777" w:rsidR="00CB245A" w:rsidRPr="00A90A25" w:rsidRDefault="00CB245A" w:rsidP="00957142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A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6.b.1: </w:t>
      </w:r>
      <w:r w:rsidRPr="00A90A25">
        <w:rPr>
          <w:rFonts w:ascii="Times New Roman" w:eastAsia="Times New Roman" w:hAnsi="Times New Roman" w:cs="Times New Roman"/>
          <w:sz w:val="24"/>
          <w:szCs w:val="24"/>
          <w:lang w:eastAsia="ru-RU"/>
        </w:rPr>
        <w:t>«Доля местных административных единиц, в которых действуют правила и процедуры участия граждан в управлении водными ресурсами и санитарией»</w:t>
      </w:r>
      <w:r w:rsidR="008F4C8D" w:rsidRPr="00A90A2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DBA01A7" w14:textId="77777777" w:rsidR="00CB245A" w:rsidRPr="00A90A25" w:rsidRDefault="00CB245A" w:rsidP="00957142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A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11.6.2</w:t>
      </w:r>
      <w:r w:rsidR="007B17D3" w:rsidRPr="00A90A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.1</w:t>
      </w:r>
      <w:r w:rsidRPr="00A90A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A90A25">
        <w:rPr>
          <w:rFonts w:ascii="Times New Roman" w:eastAsia="Times New Roman" w:hAnsi="Times New Roman" w:cs="Times New Roman"/>
          <w:sz w:val="24"/>
          <w:szCs w:val="24"/>
          <w:lang w:eastAsia="ru-RU"/>
        </w:rPr>
        <w:t> «Среднегодовой уровень содержания мелких твердых частиц (класса РМ</w:t>
      </w:r>
      <w:r w:rsidRPr="00A90A2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10</w:t>
      </w:r>
      <w:r w:rsidRPr="00A90A25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атмосфере отдельных городов (в пересчете на численность населения)»;</w:t>
      </w:r>
    </w:p>
    <w:p w14:paraId="23DE4082" w14:textId="77777777" w:rsidR="00CB245A" w:rsidRPr="00A90A25" w:rsidRDefault="00CB245A" w:rsidP="00957142">
      <w:pPr>
        <w:tabs>
          <w:tab w:val="left" w:pos="7785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A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7.1.2:</w:t>
      </w:r>
      <w:r w:rsidRPr="00A90A25">
        <w:rPr>
          <w:rFonts w:ascii="Times New Roman" w:eastAsia="Times New Roman" w:hAnsi="Times New Roman" w:cs="Times New Roman"/>
          <w:sz w:val="24"/>
          <w:szCs w:val="24"/>
          <w:lang w:eastAsia="ru-RU"/>
        </w:rPr>
        <w:t> «Доступ к чистым источникам энергии и технологиям в быту».</w:t>
      </w:r>
      <w:r w:rsidR="00DB345A" w:rsidRPr="00A90A2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280F77EC" w14:textId="77777777" w:rsidR="00352954" w:rsidRDefault="00352954" w:rsidP="00957142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BA5D92" w14:textId="56B2E531" w:rsidR="00CB245A" w:rsidRPr="00A90A25" w:rsidRDefault="00CB245A" w:rsidP="00957142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A2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Модель устойчивого развития территории в области здоровья интегрирует три составляющие:</w:t>
      </w:r>
    </w:p>
    <w:p w14:paraId="77A4873F" w14:textId="77777777" w:rsidR="00CB245A" w:rsidRPr="00A90A25" w:rsidRDefault="00CB245A" w:rsidP="00957142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A25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достижение медико-демографической устойчивости территории;</w:t>
      </w:r>
    </w:p>
    <w:p w14:paraId="7DE57A96" w14:textId="77777777" w:rsidR="00CB245A" w:rsidRPr="00A90A25" w:rsidRDefault="00CB245A" w:rsidP="00957142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A2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государственной политики по оздоровлению среды обитания, профилактике болезней и формированию у населения здорового образа жизни;</w:t>
      </w:r>
    </w:p>
    <w:p w14:paraId="679CD2B0" w14:textId="77777777" w:rsidR="00CB245A" w:rsidRPr="00A90A25" w:rsidRDefault="00CB245A" w:rsidP="00957142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A2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устойчивости системы здравоохранения.</w:t>
      </w:r>
    </w:p>
    <w:p w14:paraId="36DCBC0D" w14:textId="77777777" w:rsidR="007A6A30" w:rsidRDefault="007A6A30" w:rsidP="00957142">
      <w:pPr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F50B156" w14:textId="77777777" w:rsidR="007E054F" w:rsidRPr="004F0696" w:rsidRDefault="007E054F" w:rsidP="00957142">
      <w:pPr>
        <w:rPr>
          <w:rFonts w:ascii="Times New Roman" w:hAnsi="Times New Roman" w:cs="Times New Roman"/>
          <w:color w:val="0000FF"/>
        </w:rPr>
      </w:pPr>
    </w:p>
    <w:sectPr w:rsidR="007E054F" w:rsidRPr="004F0696" w:rsidSect="00A01A36">
      <w:headerReference w:type="defaul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CAC3AB" w14:textId="77777777" w:rsidR="00202476" w:rsidRDefault="00202476" w:rsidP="00F97E69">
      <w:r>
        <w:separator/>
      </w:r>
    </w:p>
  </w:endnote>
  <w:endnote w:type="continuationSeparator" w:id="0">
    <w:p w14:paraId="4DD714E9" w14:textId="77777777" w:rsidR="00202476" w:rsidRDefault="00202476" w:rsidP="00F97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4000207B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244103" w14:textId="77777777" w:rsidR="00202476" w:rsidRDefault="00202476" w:rsidP="00F97E69">
      <w:r>
        <w:separator/>
      </w:r>
    </w:p>
  </w:footnote>
  <w:footnote w:type="continuationSeparator" w:id="0">
    <w:p w14:paraId="3190C5DD" w14:textId="77777777" w:rsidR="00202476" w:rsidRDefault="00202476" w:rsidP="00F97E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15138116"/>
      <w:docPartObj>
        <w:docPartGallery w:val="Page Numbers (Top of Page)"/>
        <w:docPartUnique/>
      </w:docPartObj>
    </w:sdtPr>
    <w:sdtEndPr/>
    <w:sdtContent>
      <w:p w14:paraId="0F9EC808" w14:textId="37C9B2CE" w:rsidR="00A01A36" w:rsidRDefault="00A01A3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6D54">
          <w:rPr>
            <w:noProof/>
          </w:rPr>
          <w:t>3</w:t>
        </w:r>
        <w:r>
          <w:fldChar w:fldCharType="end"/>
        </w:r>
      </w:p>
    </w:sdtContent>
  </w:sdt>
  <w:p w14:paraId="4BFD61D6" w14:textId="77777777" w:rsidR="00A01A36" w:rsidRDefault="00A01A36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2136E3"/>
    <w:multiLevelType w:val="multilevel"/>
    <w:tmpl w:val="C63EE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45A"/>
    <w:rsid w:val="0001209A"/>
    <w:rsid w:val="000415F5"/>
    <w:rsid w:val="000417A6"/>
    <w:rsid w:val="0004441C"/>
    <w:rsid w:val="00056863"/>
    <w:rsid w:val="000768E1"/>
    <w:rsid w:val="000A3ED6"/>
    <w:rsid w:val="000D28C1"/>
    <w:rsid w:val="000E0D0E"/>
    <w:rsid w:val="000E0FE4"/>
    <w:rsid w:val="000F1BEF"/>
    <w:rsid w:val="00111360"/>
    <w:rsid w:val="00116237"/>
    <w:rsid w:val="00135C07"/>
    <w:rsid w:val="00160AD1"/>
    <w:rsid w:val="00175965"/>
    <w:rsid w:val="0018647B"/>
    <w:rsid w:val="001A5D62"/>
    <w:rsid w:val="001B5682"/>
    <w:rsid w:val="001D0C0F"/>
    <w:rsid w:val="001E3DE5"/>
    <w:rsid w:val="00202476"/>
    <w:rsid w:val="0021387B"/>
    <w:rsid w:val="002436D1"/>
    <w:rsid w:val="0025115F"/>
    <w:rsid w:val="002728F4"/>
    <w:rsid w:val="00277413"/>
    <w:rsid w:val="00284F35"/>
    <w:rsid w:val="00290738"/>
    <w:rsid w:val="002C285B"/>
    <w:rsid w:val="002E0841"/>
    <w:rsid w:val="00337638"/>
    <w:rsid w:val="00352954"/>
    <w:rsid w:val="00376042"/>
    <w:rsid w:val="003837FF"/>
    <w:rsid w:val="00393A5D"/>
    <w:rsid w:val="0039710B"/>
    <w:rsid w:val="003B3F7A"/>
    <w:rsid w:val="003D32F9"/>
    <w:rsid w:val="003F647E"/>
    <w:rsid w:val="0040682D"/>
    <w:rsid w:val="00425454"/>
    <w:rsid w:val="00425A8E"/>
    <w:rsid w:val="004550BB"/>
    <w:rsid w:val="004706F4"/>
    <w:rsid w:val="00475782"/>
    <w:rsid w:val="004878C8"/>
    <w:rsid w:val="004B679B"/>
    <w:rsid w:val="004D4E56"/>
    <w:rsid w:val="004F0696"/>
    <w:rsid w:val="00512BA1"/>
    <w:rsid w:val="00536075"/>
    <w:rsid w:val="005432B5"/>
    <w:rsid w:val="00554393"/>
    <w:rsid w:val="00585E79"/>
    <w:rsid w:val="00586C73"/>
    <w:rsid w:val="00590338"/>
    <w:rsid w:val="005970B8"/>
    <w:rsid w:val="005A3440"/>
    <w:rsid w:val="005C6FEF"/>
    <w:rsid w:val="006032D4"/>
    <w:rsid w:val="006068B3"/>
    <w:rsid w:val="006213C2"/>
    <w:rsid w:val="00623410"/>
    <w:rsid w:val="006C6C4F"/>
    <w:rsid w:val="006F1E10"/>
    <w:rsid w:val="00705A62"/>
    <w:rsid w:val="00713D3A"/>
    <w:rsid w:val="007365FA"/>
    <w:rsid w:val="00742FB9"/>
    <w:rsid w:val="00755CAE"/>
    <w:rsid w:val="007626FE"/>
    <w:rsid w:val="00762FC0"/>
    <w:rsid w:val="00764891"/>
    <w:rsid w:val="00792DC8"/>
    <w:rsid w:val="007A27D9"/>
    <w:rsid w:val="007A2D5E"/>
    <w:rsid w:val="007A6A30"/>
    <w:rsid w:val="007B17D3"/>
    <w:rsid w:val="007B7788"/>
    <w:rsid w:val="007B7B35"/>
    <w:rsid w:val="007D4226"/>
    <w:rsid w:val="007D7FDA"/>
    <w:rsid w:val="007E054F"/>
    <w:rsid w:val="007E0F53"/>
    <w:rsid w:val="007E1589"/>
    <w:rsid w:val="008005A5"/>
    <w:rsid w:val="00804291"/>
    <w:rsid w:val="0081162B"/>
    <w:rsid w:val="0085461D"/>
    <w:rsid w:val="008562FD"/>
    <w:rsid w:val="008644B7"/>
    <w:rsid w:val="00881060"/>
    <w:rsid w:val="00896D54"/>
    <w:rsid w:val="008B0EDB"/>
    <w:rsid w:val="008B25AA"/>
    <w:rsid w:val="008B79C8"/>
    <w:rsid w:val="008C0B16"/>
    <w:rsid w:val="008C76CA"/>
    <w:rsid w:val="008F4C8D"/>
    <w:rsid w:val="008F7FC1"/>
    <w:rsid w:val="0092407D"/>
    <w:rsid w:val="00931DA2"/>
    <w:rsid w:val="009428BC"/>
    <w:rsid w:val="00957142"/>
    <w:rsid w:val="0096014E"/>
    <w:rsid w:val="00994097"/>
    <w:rsid w:val="00A01A36"/>
    <w:rsid w:val="00A073B6"/>
    <w:rsid w:val="00A2523F"/>
    <w:rsid w:val="00A54AAF"/>
    <w:rsid w:val="00A90A25"/>
    <w:rsid w:val="00AB262A"/>
    <w:rsid w:val="00B1558D"/>
    <w:rsid w:val="00B17043"/>
    <w:rsid w:val="00B61268"/>
    <w:rsid w:val="00B7185D"/>
    <w:rsid w:val="00B80C18"/>
    <w:rsid w:val="00BA6D4F"/>
    <w:rsid w:val="00BD0D36"/>
    <w:rsid w:val="00BE629B"/>
    <w:rsid w:val="00BF0441"/>
    <w:rsid w:val="00BF58C0"/>
    <w:rsid w:val="00C8021F"/>
    <w:rsid w:val="00CA241A"/>
    <w:rsid w:val="00CB245A"/>
    <w:rsid w:val="00CD4CC1"/>
    <w:rsid w:val="00CE42A6"/>
    <w:rsid w:val="00D007AD"/>
    <w:rsid w:val="00D128B0"/>
    <w:rsid w:val="00D273D6"/>
    <w:rsid w:val="00D33D3F"/>
    <w:rsid w:val="00D727BB"/>
    <w:rsid w:val="00DB345A"/>
    <w:rsid w:val="00DF5221"/>
    <w:rsid w:val="00E044C3"/>
    <w:rsid w:val="00E33D64"/>
    <w:rsid w:val="00E42DCE"/>
    <w:rsid w:val="00E56CB3"/>
    <w:rsid w:val="00E7662F"/>
    <w:rsid w:val="00E95E28"/>
    <w:rsid w:val="00EA6898"/>
    <w:rsid w:val="00EC3E14"/>
    <w:rsid w:val="00ED3BA9"/>
    <w:rsid w:val="00ED3E5E"/>
    <w:rsid w:val="00ED4D11"/>
    <w:rsid w:val="00EE0E35"/>
    <w:rsid w:val="00EE4D93"/>
    <w:rsid w:val="00F16968"/>
    <w:rsid w:val="00F520A6"/>
    <w:rsid w:val="00F70564"/>
    <w:rsid w:val="00F82109"/>
    <w:rsid w:val="00F85D87"/>
    <w:rsid w:val="00F90A0C"/>
    <w:rsid w:val="00F97E69"/>
    <w:rsid w:val="00FC3C5F"/>
    <w:rsid w:val="00FF0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B6F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B245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58C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522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245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CB245A"/>
    <w:rPr>
      <w:color w:val="0000FF"/>
      <w:u w:val="single"/>
    </w:rPr>
  </w:style>
  <w:style w:type="character" w:customStyle="1" w:styleId="post">
    <w:name w:val="post"/>
    <w:basedOn w:val="a0"/>
    <w:rsid w:val="00CB245A"/>
  </w:style>
  <w:style w:type="paragraph" w:styleId="a4">
    <w:name w:val="Normal (Web)"/>
    <w:basedOn w:val="a"/>
    <w:uiPriority w:val="99"/>
    <w:unhideWhenUsed/>
    <w:rsid w:val="00CB245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B245A"/>
    <w:rPr>
      <w:b/>
      <w:bCs/>
    </w:rPr>
  </w:style>
  <w:style w:type="character" w:styleId="a6">
    <w:name w:val="Emphasis"/>
    <w:basedOn w:val="a0"/>
    <w:uiPriority w:val="20"/>
    <w:qFormat/>
    <w:rsid w:val="00CB245A"/>
    <w:rPr>
      <w:i/>
      <w:iCs/>
    </w:rPr>
  </w:style>
  <w:style w:type="paragraph" w:styleId="a7">
    <w:name w:val="List Paragraph"/>
    <w:basedOn w:val="a"/>
    <w:uiPriority w:val="34"/>
    <w:qFormat/>
    <w:rsid w:val="00742FB9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D128B0"/>
    <w:rPr>
      <w:color w:val="605E5C"/>
      <w:shd w:val="clear" w:color="auto" w:fill="E1DFDD"/>
    </w:rPr>
  </w:style>
  <w:style w:type="paragraph" w:customStyle="1" w:styleId="uk-active">
    <w:name w:val="uk-active"/>
    <w:basedOn w:val="a"/>
    <w:rsid w:val="006F1E1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F522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BF58C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8">
    <w:name w:val="header"/>
    <w:basedOn w:val="a"/>
    <w:link w:val="a9"/>
    <w:uiPriority w:val="99"/>
    <w:unhideWhenUsed/>
    <w:rsid w:val="00F97E6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97E69"/>
  </w:style>
  <w:style w:type="paragraph" w:styleId="aa">
    <w:name w:val="footer"/>
    <w:basedOn w:val="a"/>
    <w:link w:val="ab"/>
    <w:uiPriority w:val="99"/>
    <w:unhideWhenUsed/>
    <w:rsid w:val="00F97E6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97E69"/>
  </w:style>
  <w:style w:type="character" w:styleId="ac">
    <w:name w:val="FollowedHyperlink"/>
    <w:basedOn w:val="a0"/>
    <w:uiPriority w:val="99"/>
    <w:semiHidden/>
    <w:unhideWhenUsed/>
    <w:rsid w:val="008B79C8"/>
    <w:rPr>
      <w:color w:val="954F72" w:themeColor="followed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896D5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96D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B245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58C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522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245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CB245A"/>
    <w:rPr>
      <w:color w:val="0000FF"/>
      <w:u w:val="single"/>
    </w:rPr>
  </w:style>
  <w:style w:type="character" w:customStyle="1" w:styleId="post">
    <w:name w:val="post"/>
    <w:basedOn w:val="a0"/>
    <w:rsid w:val="00CB245A"/>
  </w:style>
  <w:style w:type="paragraph" w:styleId="a4">
    <w:name w:val="Normal (Web)"/>
    <w:basedOn w:val="a"/>
    <w:uiPriority w:val="99"/>
    <w:unhideWhenUsed/>
    <w:rsid w:val="00CB245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B245A"/>
    <w:rPr>
      <w:b/>
      <w:bCs/>
    </w:rPr>
  </w:style>
  <w:style w:type="character" w:styleId="a6">
    <w:name w:val="Emphasis"/>
    <w:basedOn w:val="a0"/>
    <w:uiPriority w:val="20"/>
    <w:qFormat/>
    <w:rsid w:val="00CB245A"/>
    <w:rPr>
      <w:i/>
      <w:iCs/>
    </w:rPr>
  </w:style>
  <w:style w:type="paragraph" w:styleId="a7">
    <w:name w:val="List Paragraph"/>
    <w:basedOn w:val="a"/>
    <w:uiPriority w:val="34"/>
    <w:qFormat/>
    <w:rsid w:val="00742FB9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D128B0"/>
    <w:rPr>
      <w:color w:val="605E5C"/>
      <w:shd w:val="clear" w:color="auto" w:fill="E1DFDD"/>
    </w:rPr>
  </w:style>
  <w:style w:type="paragraph" w:customStyle="1" w:styleId="uk-active">
    <w:name w:val="uk-active"/>
    <w:basedOn w:val="a"/>
    <w:rsid w:val="006F1E1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F522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BF58C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8">
    <w:name w:val="header"/>
    <w:basedOn w:val="a"/>
    <w:link w:val="a9"/>
    <w:uiPriority w:val="99"/>
    <w:unhideWhenUsed/>
    <w:rsid w:val="00F97E6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97E69"/>
  </w:style>
  <w:style w:type="paragraph" w:styleId="aa">
    <w:name w:val="footer"/>
    <w:basedOn w:val="a"/>
    <w:link w:val="ab"/>
    <w:uiPriority w:val="99"/>
    <w:unhideWhenUsed/>
    <w:rsid w:val="00F97E6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97E69"/>
  </w:style>
  <w:style w:type="character" w:styleId="ac">
    <w:name w:val="FollowedHyperlink"/>
    <w:basedOn w:val="a0"/>
    <w:uiPriority w:val="99"/>
    <w:semiHidden/>
    <w:unhideWhenUsed/>
    <w:rsid w:val="008B79C8"/>
    <w:rPr>
      <w:color w:val="954F72" w:themeColor="followed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896D5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96D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5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86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3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16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89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334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24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81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99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47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340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70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2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2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83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88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79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965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44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805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6465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sdgplatform.belstat.gov.by/sites/belstatfront/home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sdgregions.belstat.gov.by/?regionId=al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dgplatform.belstat.gov.by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dgs.by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1609</Words>
  <Characters>9173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Янченкова Елена М.</dc:creator>
  <cp:keywords/>
  <dc:description/>
  <cp:lastModifiedBy>Покупатель</cp:lastModifiedBy>
  <cp:revision>24</cp:revision>
  <cp:lastPrinted>2022-09-14T07:39:00Z</cp:lastPrinted>
  <dcterms:created xsi:type="dcterms:W3CDTF">2024-08-02T09:58:00Z</dcterms:created>
  <dcterms:modified xsi:type="dcterms:W3CDTF">2025-11-26T11:52:00Z</dcterms:modified>
</cp:coreProperties>
</file>