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EB" w:rsidRPr="009359EB" w:rsidRDefault="009359EB" w:rsidP="009359EB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</w:pPr>
      <w:r w:rsidRPr="009359EB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>Небезопасная продукция</w:t>
      </w:r>
    </w:p>
    <w:p w:rsidR="00A16BA2" w:rsidRDefault="009359EB">
      <w:r>
        <w:rPr>
          <w:rFonts w:ascii="Verdana" w:hAnsi="Verdana"/>
          <w:color w:val="364A4F"/>
          <w:sz w:val="20"/>
          <w:szCs w:val="20"/>
        </w:rPr>
        <w:t>В сентябре 2023 года специалистами Ветковского районного ЦГЭ в рамках защиты внутреннего рынка от небезопасной продукции выявлено 5 проб опасных товаров: свекла, миски, шорты, гуашь, туалетная бумага. Продукция изъята из обращения.</w:t>
      </w:r>
      <w:bookmarkStart w:id="0" w:name="_GoBack"/>
      <w:bookmarkEnd w:id="0"/>
    </w:p>
    <w:sectPr w:rsidR="00A1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B"/>
    <w:rsid w:val="009359EB"/>
    <w:rsid w:val="00A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2024-01-05T13:02:00Z</dcterms:created>
  <dcterms:modified xsi:type="dcterms:W3CDTF">2024-01-05T13:03:00Z</dcterms:modified>
</cp:coreProperties>
</file>