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2" w:rsidRPr="00E530D7" w:rsidRDefault="001564F2" w:rsidP="001564F2">
      <w:pPr>
        <w:pStyle w:val="a3"/>
        <w:ind w:left="142"/>
        <w:jc w:val="right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ab/>
      </w:r>
    </w:p>
    <w:p w:rsidR="00E530D7" w:rsidRPr="0081050A" w:rsidRDefault="00E530D7" w:rsidP="00B47B06">
      <w:pPr>
        <w:pStyle w:val="a3"/>
        <w:ind w:left="142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81050A">
        <w:rPr>
          <w:rFonts w:eastAsiaTheme="minorEastAsia"/>
          <w:b/>
          <w:bCs/>
          <w:kern w:val="24"/>
          <w:sz w:val="28"/>
          <w:szCs w:val="28"/>
        </w:rPr>
        <w:t>Новое в законодательстве по профилактике табакокурения</w:t>
      </w:r>
    </w:p>
    <w:p w:rsidR="0081050A" w:rsidRDefault="0081050A" w:rsidP="00B47B06">
      <w:pPr>
        <w:pStyle w:val="a3"/>
        <w:ind w:left="142"/>
        <w:jc w:val="center"/>
        <w:rPr>
          <w:rFonts w:eastAsiaTheme="minorEastAsia"/>
          <w:b/>
          <w:bCs/>
          <w:kern w:val="24"/>
        </w:rPr>
      </w:pPr>
    </w:p>
    <w:p w:rsidR="00E530D7" w:rsidRPr="00E530D7" w:rsidRDefault="0081050A" w:rsidP="00B47B06">
      <w:pPr>
        <w:pStyle w:val="a3"/>
        <w:ind w:left="142"/>
        <w:jc w:val="center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noProof/>
          <w:kern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97155</wp:posOffset>
            </wp:positionV>
            <wp:extent cx="2646045" cy="1905635"/>
            <wp:effectExtent l="19050" t="0" r="1905" b="0"/>
            <wp:wrapTight wrapText="bothSides">
              <wp:wrapPolygon edited="0">
                <wp:start x="-156" y="0"/>
                <wp:lineTo x="-156" y="21377"/>
                <wp:lineTo x="21616" y="21377"/>
                <wp:lineTo x="21616" y="0"/>
                <wp:lineTo x="-156" y="0"/>
              </wp:wrapPolygon>
            </wp:wrapTight>
            <wp:docPr id="3" name="Рисунок 3" descr="C:\Documents and Settings\Администратор\Рабочий стол\belnaviny.by-v-belarusi-prinyaty-mery-po-uzhestocheniyu-antitabachnogo-zakonodatel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belnaviny.by-v-belarusi-prinyaty-mery-po-uzhestocheniyu-antitabachnogo-zakonodatelst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62B" w:rsidRPr="00DA462B" w:rsidRDefault="00B47B06" w:rsidP="00B47B06">
      <w:pPr>
        <w:pStyle w:val="a3"/>
        <w:ind w:left="142"/>
        <w:jc w:val="both"/>
      </w:pPr>
      <w:r>
        <w:rPr>
          <w:rFonts w:eastAsiaTheme="minorEastAsia"/>
          <w:bCs/>
          <w:kern w:val="24"/>
        </w:rPr>
        <w:tab/>
      </w:r>
      <w:r w:rsidR="00DA462B" w:rsidRPr="00DA462B">
        <w:rPr>
          <w:rFonts w:eastAsiaTheme="minorEastAsia"/>
          <w:bCs/>
          <w:kern w:val="24"/>
        </w:rPr>
        <w:t>Табачная зависимость отнесена к категории «Умственные и  поведенческие расстройства, обусловленные использованием психоактивных соединений» (МКБ 10)</w:t>
      </w:r>
    </w:p>
    <w:p w:rsidR="00DA462B" w:rsidRPr="00DA462B" w:rsidRDefault="00DA462B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DA462B" w:rsidRPr="00DA462B" w:rsidRDefault="00DA462B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ab/>
      </w:r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По оценкам ВОЗ, курение занимает второе место в списке причин преждевременной смерти людей. Оно ежегодно приводит к случаем гибели людей как среди потребителей табака, так и среди некурящих людей, подвергающихся воздействию «вторичного» табачного дыма (пассивное курение). </w:t>
      </w:r>
    </w:p>
    <w:p w:rsidR="00DA462B" w:rsidRPr="00DA462B" w:rsidRDefault="0081050A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ab/>
      </w:r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Это колоссальный вред для некурящих. Пассивное курение очень агрессивное. Ведь безопасного уровня воздействия так называемого вторичного табачного дыма не существует. Почти половина населения регулярно дышат воздухом, загрязнённым табачным дымом в общественных местах. </w:t>
      </w:r>
    </w:p>
    <w:p w:rsidR="00DA462B" w:rsidRPr="00DA462B" w:rsidRDefault="0081050A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ab/>
      </w:r>
      <w:r w:rsidR="00DA462B"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Для курящих проблемой является бросить курить, для некурящих – избежать влияния курильщиков и сохранить свое здоровье. Исследования показывают, что немногие люди понимают конкретные опасности для здоровья, связанные с употреблением табака. </w:t>
      </w:r>
    </w:p>
    <w:p w:rsidR="00DA462B" w:rsidRDefault="00DA462B" w:rsidP="00B47B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Употребление табака – единственная реально устранимая причина смерти во всем мире, по которой гибнет примерно половина всех лиц, курящих в течение длительного времени. </w:t>
      </w:r>
    </w:p>
    <w:p w:rsidR="00E530D7" w:rsidRDefault="00DA462B" w:rsidP="00B47B06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DA462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Пассивное курение (вторичный дым, вторичное курение, невольное курение) – вдыхание воздуха с табачным дымом. Оказывает на некурящего человека такое же негативное  воздействие, как и на самого курящего. Человек невольно вдыхает все ядовитые вещества, находящееся в окружающем табачном дым 60% сигаретного дыма выделяется  в окружающую среду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E530D7" w:rsidRDefault="00E530D7" w:rsidP="00B47B06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Глобальной целью ВОЗ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</w:t>
      </w:r>
    </w:p>
    <w:p w:rsidR="00E530D7" w:rsidRPr="00E530D7" w:rsidRDefault="00E530D7" w:rsidP="00B47B06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ab/>
      </w: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Особое внимание ВОЗ уделяет многообразию негативных последствий воздействия табака для здоровья человека во всем мире. К ним относятся: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Онкологические заболевания 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Хронические респираторные заболевания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Последствия на различных этапах жизни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Туберкулез </w:t>
      </w:r>
    </w:p>
    <w:p w:rsidR="00E530D7" w:rsidRPr="00E530D7" w:rsidRDefault="00E530D7" w:rsidP="00B47B06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Загрязнение воздух</w:t>
      </w:r>
    </w:p>
    <w:p w:rsidR="00E530D7" w:rsidRDefault="00E530D7" w:rsidP="00B47B06">
      <w:pPr>
        <w:spacing w:after="0" w:line="240" w:lineRule="auto"/>
        <w:ind w:firstLine="1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D7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Наиболее действенной мерой по улучшению состояния здоровья является сокращение потребления табака и вдыхания вторичного табачного дыма. Однако население, и особенно курильщики, мало знают и понимают о последствиях курения табака и пассивного курения для здоровья человека. Несмотря на убедительные доказательства того, что табак наносит вред здоровью, потенциальная эффективность мер против табака в плане улучшения здоровья ле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гких до сих пор недооценивается</w:t>
      </w:r>
    </w:p>
    <w:p w:rsidR="00E530D7" w:rsidRPr="0081050A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</w:rPr>
      </w:pPr>
      <w:r w:rsidRPr="0081050A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</w:rPr>
        <w:t xml:space="preserve">!!! 24 января 2019 г.  подписан Декрет  Президента РБ №2. Декретом № 2 утверждено Положение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</w:t>
      </w:r>
      <w:r w:rsidRPr="0081050A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</w:rPr>
        <w:lastRenderedPageBreak/>
        <w:t xml:space="preserve">систем курения, жидкостей для электронных систем курения, систем потребления табака </w:t>
      </w:r>
      <w:r w:rsidRPr="0081050A"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</w:rPr>
        <w:t>ДЕКРЕТ вступил в силу 27 июля 2019 года</w:t>
      </w:r>
    </w:p>
    <w:p w:rsidR="00E530D7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E530D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Основной целью Декрета № 2 является последовательное ограничение доступности табачных изделий, электронных систем курения, жидкостей для них, систем для потребления табака, предотвращение негативного влияния курения на состояние здоровья настоящего и будущих поколений, создание условий для защиты здоровья граждан от воздействия окружающего табачного дыма, а также последствий потребления (курения) табачных изделий, использования электронных систем курения, систем для потребления табака.</w:t>
      </w:r>
    </w:p>
    <w:p w:rsidR="00E530D7" w:rsidRPr="00E530D7" w:rsidRDefault="00E530D7" w:rsidP="00B47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К объектам, в (на) которых установлен полный запрет на курение и вейпинг (электронные сигареты), в частности, отнесены: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 xml:space="preserve">- подъезды, лестничные площадки, лифты и другие вспомогательные помещениях многоквартирных домов и общежитий подъездах (коридор, лестничные проемы, общие балконы, тамбуры). (штраф за нарушение правил пользования жилыми помещениями составляет до 30 базовых величин (постановление Совмина №399 от 2013 года); 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автомобили, перевозящие детей до 14 лет (штраф можно получить даже при курении в собственном авто, если в нем есть ребенок);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детские и игровые площадки;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рабочие места в помещениях (например, кабинеты);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территории и помещения спортивно-оздоровительных лагерей;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учреждения образования (школы, ССУЗы, ВУЗы и другие);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подземные переходы;</w:t>
      </w:r>
    </w:p>
    <w:p w:rsidR="00E530D7" w:rsidRPr="00E530D7" w:rsidRDefault="00E530D7" w:rsidP="00B47B06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kern w:val="24"/>
        </w:rPr>
        <w:t>- остановочные пункты и посадочные площадки общественного транспорта.</w:t>
      </w:r>
    </w:p>
    <w:p w:rsidR="00E530D7" w:rsidRDefault="00E530D7" w:rsidP="00B47B06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E530D7">
        <w:rPr>
          <w:rFonts w:eastAsiaTheme="minorEastAsia"/>
          <w:kern w:val="24"/>
        </w:rPr>
        <w:t>!!! Важно отметить, что теперь родители, чей ребенок в возрасте до 16 лет был задержан за курение, должны будут выплатить штраф до 10 базовых величин</w:t>
      </w:r>
      <w:r>
        <w:rPr>
          <w:rFonts w:eastAsiaTheme="minorEastAsia"/>
          <w:kern w:val="24"/>
        </w:rPr>
        <w:t>.</w:t>
      </w:r>
    </w:p>
    <w:p w:rsidR="00E530D7" w:rsidRDefault="00E530D7" w:rsidP="00B47B06">
      <w:pPr>
        <w:pStyle w:val="a4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:rsidR="00E530D7" w:rsidRDefault="00E530D7" w:rsidP="0000208F">
      <w:pPr>
        <w:pStyle w:val="a4"/>
        <w:spacing w:before="0" w:beforeAutospacing="0" w:after="0" w:afterAutospacing="0"/>
        <w:ind w:firstLine="284"/>
        <w:jc w:val="both"/>
        <w:rPr>
          <w:rFonts w:eastAsiaTheme="majorEastAsia"/>
          <w:b/>
          <w:bCs/>
          <w:kern w:val="24"/>
        </w:rPr>
      </w:pPr>
      <w:r>
        <w:rPr>
          <w:rFonts w:eastAsiaTheme="minorEastAsia"/>
          <w:kern w:val="24"/>
        </w:rPr>
        <w:tab/>
      </w:r>
      <w:r w:rsidRPr="00E530D7">
        <w:rPr>
          <w:rFonts w:eastAsiaTheme="majorEastAsia"/>
          <w:b/>
          <w:bCs/>
          <w:kern w:val="24"/>
        </w:rPr>
        <w:t>Зап</w:t>
      </w:r>
      <w:r>
        <w:rPr>
          <w:rFonts w:eastAsiaTheme="majorEastAsia"/>
          <w:b/>
          <w:bCs/>
          <w:kern w:val="24"/>
        </w:rPr>
        <w:t xml:space="preserve">рещено курение, за исключением  </w:t>
      </w:r>
      <w:r w:rsidRPr="00E530D7">
        <w:rPr>
          <w:rFonts w:eastAsiaTheme="majorEastAsia"/>
          <w:b/>
          <w:bCs/>
          <w:kern w:val="24"/>
        </w:rPr>
        <w:t>специально созданных мест:</w:t>
      </w:r>
    </w:p>
    <w:p w:rsidR="00E530D7" w:rsidRPr="00E530D7" w:rsidRDefault="00E530D7" w:rsidP="0000208F">
      <w:pPr>
        <w:pStyle w:val="a3"/>
        <w:numPr>
          <w:ilvl w:val="0"/>
          <w:numId w:val="6"/>
        </w:numPr>
        <w:ind w:left="0" w:firstLine="284"/>
        <w:jc w:val="both"/>
      </w:pPr>
      <w:r w:rsidRPr="00E530D7">
        <w:rPr>
          <w:rFonts w:eastAsiaTheme="minorEastAsia"/>
          <w:kern w:val="24"/>
        </w:rPr>
        <w:t>в торговых объектах и объектах бытового обслуживания населения, торговых центрах и на рынках;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организациях здравоохранения, культуры, физической культуры и спорта, организациях, оказывающие социальные услуги;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помещениях органов государственного управления, местных исполнительных и распорядительных органов, организаций;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территории вокзалов, аэропортов, на станциях метрополитена;</w:t>
      </w:r>
    </w:p>
    <w:p w:rsidR="00E530D7" w:rsidRP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объектах общественного питания, на территории летних площадок и террас (продолжение залов); рестораны, кафе;</w:t>
      </w:r>
    </w:p>
    <w:p w:rsidR="00E530D7" w:rsidRDefault="00E530D7" w:rsidP="0000208F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территории пляжей.</w:t>
      </w:r>
    </w:p>
    <w:p w:rsidR="00E530D7" w:rsidRDefault="00E530D7" w:rsidP="0000208F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ab/>
      </w:r>
      <w:r w:rsidRPr="00E530D7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 курение в местах, запрещенных статьей 17.9 Кодекса Республики Беларусь об административных правонарушениях, предусмотрен штраф размере до 4 базовых величин в зависимости от того, привлекался ли он раньше к административной ответственности, в том числе и за курение), однако надеяться на предупреждение на первый раз курильщикам не придется, сразу будет составляться протокол.</w:t>
      </w:r>
    </w:p>
    <w:p w:rsidR="00E530D7" w:rsidRPr="0081050A" w:rsidRDefault="00E530D7" w:rsidP="00B47B0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984806" w:themeColor="accent6" w:themeShade="8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ab/>
      </w:r>
      <w:r w:rsidRPr="0081050A">
        <w:rPr>
          <w:rFonts w:ascii="Times New Roman" w:eastAsiaTheme="minorEastAsia" w:hAnsi="Times New Roman" w:cs="Times New Roman"/>
          <w:bCs/>
          <w:color w:val="984806" w:themeColor="accent6" w:themeShade="80"/>
          <w:kern w:val="24"/>
          <w:sz w:val="24"/>
          <w:szCs w:val="24"/>
        </w:rPr>
        <w:t>Объекты, где курение табачных изделий запрещено, должны обозначаться специальным знаком о запрете курения, требования к которому, образец и порядок его размещения устанавливает  Министерство здравоохранения РБ</w:t>
      </w:r>
    </w:p>
    <w:p w:rsidR="00E530D7" w:rsidRPr="0081050A" w:rsidRDefault="00E530D7" w:rsidP="00B47B06">
      <w:pPr>
        <w:pStyle w:val="a4"/>
        <w:spacing w:before="200" w:beforeAutospacing="0" w:after="0" w:afterAutospacing="0"/>
        <w:jc w:val="both"/>
        <w:rPr>
          <w:color w:val="984806" w:themeColor="accent6" w:themeShade="80"/>
        </w:rPr>
      </w:pPr>
      <w:r w:rsidRPr="0081050A">
        <w:rPr>
          <w:rFonts w:eastAsiaTheme="minorEastAsia"/>
          <w:bCs/>
          <w:color w:val="984806" w:themeColor="accent6" w:themeShade="80"/>
          <w:kern w:val="24"/>
        </w:rPr>
        <w:tab/>
        <w:t>Постановлением Министерства здравоохранения РБ от 19 апреля 2019 г. № 35 установлен образец знака о запрете курения (потребления) табачных изделий, использования электронных систем курения, систем для потребления табака.</w:t>
      </w:r>
    </w:p>
    <w:p w:rsidR="00E530D7" w:rsidRPr="00E530D7" w:rsidRDefault="00E530D7" w:rsidP="00B47B06">
      <w:pPr>
        <w:pStyle w:val="a4"/>
        <w:spacing w:before="20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t>В соответствии с документом:</w:t>
      </w:r>
    </w:p>
    <w:p w:rsidR="00E530D7" w:rsidRPr="00E530D7" w:rsidRDefault="00E530D7" w:rsidP="00B47B06">
      <w:pPr>
        <w:pStyle w:val="a4"/>
        <w:spacing w:before="20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lastRenderedPageBreak/>
        <w:t>знак о запрете курения размещается у входа в помещения, на объекты и (или) территории, где курение (потребление) табачных изделий, использование электронных систем курения, систем для потребления табака запрещено в соответствии с законодательными актами, либо в границах таких помещений, объектов и (или) территорий;</w:t>
      </w:r>
    </w:p>
    <w:p w:rsidR="00E530D7" w:rsidRPr="00E530D7" w:rsidRDefault="00E530D7" w:rsidP="00B47B06">
      <w:pPr>
        <w:pStyle w:val="a4"/>
        <w:spacing w:before="20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t>юридические лица и индивидуальные предприниматели вправе дополнительно помимо вышеназванных мест размещать знак о запрете курения в помещениях, на объектах и (или) территориях, принадлежащих им на праве собственности.</w:t>
      </w:r>
    </w:p>
    <w:p w:rsidR="00E530D7" w:rsidRPr="00E530D7" w:rsidRDefault="00E530D7" w:rsidP="00E530D7">
      <w:pPr>
        <w:pStyle w:val="a4"/>
        <w:spacing w:before="200" w:beforeAutospacing="0" w:after="0" w:afterAutospacing="0"/>
        <w:jc w:val="both"/>
      </w:pPr>
      <w:r>
        <w:rPr>
          <w:rFonts w:eastAsiaTheme="minorEastAsia"/>
          <w:bCs/>
          <w:kern w:val="24"/>
        </w:rPr>
        <w:tab/>
      </w:r>
      <w:r w:rsidRPr="00E530D7">
        <w:rPr>
          <w:rFonts w:eastAsiaTheme="minorEastAsia"/>
          <w:bCs/>
          <w:kern w:val="24"/>
        </w:rPr>
        <w:t>Также определено, что размеры знака о запрете курения должны обеспечивать его видимость, цветографическое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самоклеющейся полимерной пленки, самоклеющейся и печатной бумаги, картона.</w:t>
      </w:r>
    </w:p>
    <w:p w:rsidR="00E530D7" w:rsidRPr="00E530D7" w:rsidRDefault="00E530D7" w:rsidP="00E530D7">
      <w:pPr>
        <w:pStyle w:val="a4"/>
        <w:spacing w:before="0" w:beforeAutospacing="0" w:after="0" w:afterAutospacing="0"/>
        <w:jc w:val="both"/>
      </w:pPr>
      <w:r>
        <w:rPr>
          <w:rFonts w:eastAsiaTheme="minorEastAsia"/>
          <w:bCs/>
          <w:kern w:val="24"/>
        </w:rPr>
        <w:tab/>
      </w:r>
      <w:r w:rsidRPr="00E530D7">
        <w:rPr>
          <w:rFonts w:eastAsiaTheme="minorEastAsia"/>
          <w:bCs/>
          <w:kern w:val="24"/>
        </w:rPr>
        <w:t xml:space="preserve">Допускается сопровождать знак о запрете курения надписями «Не курить», «Курить запрещено» и (или) информацией о размере штрафов за курение </w:t>
      </w:r>
    </w:p>
    <w:p w:rsidR="00E530D7" w:rsidRPr="00E530D7" w:rsidRDefault="00E530D7" w:rsidP="00E530D7">
      <w:pPr>
        <w:pStyle w:val="a4"/>
        <w:spacing w:before="0" w:beforeAutospacing="0" w:after="0" w:afterAutospacing="0"/>
        <w:jc w:val="both"/>
      </w:pPr>
      <w:r w:rsidRPr="00E530D7">
        <w:rPr>
          <w:rFonts w:eastAsiaTheme="minorEastAsia"/>
          <w:bCs/>
          <w:kern w:val="24"/>
        </w:rPr>
        <w:t>в запрещенных местах.</w:t>
      </w:r>
    </w:p>
    <w:p w:rsidR="00312764" w:rsidRPr="00312764" w:rsidRDefault="00E530D7" w:rsidP="0031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0D7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="00312764">
        <w:rPr>
          <w:rFonts w:ascii="Times New Roman" w:hAnsi="Times New Roman" w:cs="Times New Roman"/>
          <w:sz w:val="24"/>
          <w:szCs w:val="24"/>
        </w:rPr>
        <w:t>Врач-гигиенист  (заведующий отделом гигиенист) А.А. Коржев</w:t>
      </w:r>
      <w:bookmarkStart w:id="0" w:name="_GoBack"/>
      <w:bookmarkEnd w:id="0"/>
    </w:p>
    <w:p w:rsidR="00DA462B" w:rsidRPr="00DA462B" w:rsidRDefault="00E530D7" w:rsidP="001564F2">
      <w:pPr>
        <w:pStyle w:val="a4"/>
        <w:spacing w:before="0" w:beforeAutospacing="0" w:after="0" w:afterAutospacing="0"/>
        <w:jc w:val="both"/>
        <w:rPr>
          <w:rFonts w:eastAsiaTheme="majorEastAsia"/>
          <w:kern w:val="24"/>
        </w:rPr>
      </w:pPr>
      <w:r w:rsidRPr="00E530D7">
        <w:rPr>
          <w:rFonts w:eastAsiaTheme="majorEastAsia"/>
          <w:kern w:val="24"/>
        </w:rPr>
        <w:br/>
      </w:r>
    </w:p>
    <w:p w:rsidR="002E119A" w:rsidRPr="00E530D7" w:rsidRDefault="002E119A" w:rsidP="00E530D7">
      <w:pPr>
        <w:spacing w:line="240" w:lineRule="auto"/>
        <w:ind w:firstLine="1125"/>
        <w:jc w:val="both"/>
        <w:rPr>
          <w:rFonts w:ascii="Times New Roman" w:hAnsi="Times New Roman" w:cs="Times New Roman"/>
          <w:sz w:val="24"/>
          <w:szCs w:val="24"/>
        </w:rPr>
      </w:pPr>
    </w:p>
    <w:sectPr w:rsidR="002E119A" w:rsidRPr="00E530D7" w:rsidSect="00E530D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B09"/>
    <w:multiLevelType w:val="hybridMultilevel"/>
    <w:tmpl w:val="828007DA"/>
    <w:lvl w:ilvl="0" w:tplc="754A1E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DE69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46B2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34AD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709F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A8B7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CA79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5446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D87D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57B5B43"/>
    <w:multiLevelType w:val="hybridMultilevel"/>
    <w:tmpl w:val="DC82E612"/>
    <w:lvl w:ilvl="0" w:tplc="EE2488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24E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D8FB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063D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2E23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AE43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FC87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DA9E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422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9967B00"/>
    <w:multiLevelType w:val="hybridMultilevel"/>
    <w:tmpl w:val="160417DA"/>
    <w:lvl w:ilvl="0" w:tplc="4EBC0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92E0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368A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A697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743E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E005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2A35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AEB0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7CD9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B9D299A"/>
    <w:multiLevelType w:val="hybridMultilevel"/>
    <w:tmpl w:val="5DA8609A"/>
    <w:lvl w:ilvl="0" w:tplc="8F5C39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68A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6C02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221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0C36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8EC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A84A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9AC3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9628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C437C13"/>
    <w:multiLevelType w:val="hybridMultilevel"/>
    <w:tmpl w:val="858260AA"/>
    <w:lvl w:ilvl="0" w:tplc="E5C2DC4E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54BAE8A2" w:tentative="1">
      <w:start w:val="1"/>
      <w:numFmt w:val="bullet"/>
      <w:lvlText w:val=""/>
      <w:lvlJc w:val="left"/>
      <w:pPr>
        <w:tabs>
          <w:tab w:val="num" w:pos="1222"/>
        </w:tabs>
        <w:ind w:left="1222" w:hanging="360"/>
      </w:pPr>
      <w:rPr>
        <w:rFonts w:ascii="Wingdings 3" w:hAnsi="Wingdings 3" w:hint="default"/>
      </w:rPr>
    </w:lvl>
    <w:lvl w:ilvl="2" w:tplc="448640A2" w:tentative="1">
      <w:start w:val="1"/>
      <w:numFmt w:val="bullet"/>
      <w:lvlText w:val=""/>
      <w:lvlJc w:val="left"/>
      <w:pPr>
        <w:tabs>
          <w:tab w:val="num" w:pos="1942"/>
        </w:tabs>
        <w:ind w:left="1942" w:hanging="360"/>
      </w:pPr>
      <w:rPr>
        <w:rFonts w:ascii="Wingdings 3" w:hAnsi="Wingdings 3" w:hint="default"/>
      </w:rPr>
    </w:lvl>
    <w:lvl w:ilvl="3" w:tplc="F4DE8D40" w:tentative="1">
      <w:start w:val="1"/>
      <w:numFmt w:val="bullet"/>
      <w:lvlText w:val=""/>
      <w:lvlJc w:val="left"/>
      <w:pPr>
        <w:tabs>
          <w:tab w:val="num" w:pos="2662"/>
        </w:tabs>
        <w:ind w:left="2662" w:hanging="360"/>
      </w:pPr>
      <w:rPr>
        <w:rFonts w:ascii="Wingdings 3" w:hAnsi="Wingdings 3" w:hint="default"/>
      </w:rPr>
    </w:lvl>
    <w:lvl w:ilvl="4" w:tplc="6A5A8BEE" w:tentative="1">
      <w:start w:val="1"/>
      <w:numFmt w:val="bullet"/>
      <w:lvlText w:val=""/>
      <w:lvlJc w:val="left"/>
      <w:pPr>
        <w:tabs>
          <w:tab w:val="num" w:pos="3382"/>
        </w:tabs>
        <w:ind w:left="3382" w:hanging="360"/>
      </w:pPr>
      <w:rPr>
        <w:rFonts w:ascii="Wingdings 3" w:hAnsi="Wingdings 3" w:hint="default"/>
      </w:rPr>
    </w:lvl>
    <w:lvl w:ilvl="5" w:tplc="9266C7F0" w:tentative="1">
      <w:start w:val="1"/>
      <w:numFmt w:val="bullet"/>
      <w:lvlText w:val=""/>
      <w:lvlJc w:val="left"/>
      <w:pPr>
        <w:tabs>
          <w:tab w:val="num" w:pos="4102"/>
        </w:tabs>
        <w:ind w:left="4102" w:hanging="360"/>
      </w:pPr>
      <w:rPr>
        <w:rFonts w:ascii="Wingdings 3" w:hAnsi="Wingdings 3" w:hint="default"/>
      </w:rPr>
    </w:lvl>
    <w:lvl w:ilvl="6" w:tplc="F6C81662" w:tentative="1">
      <w:start w:val="1"/>
      <w:numFmt w:val="bullet"/>
      <w:lvlText w:val=""/>
      <w:lvlJc w:val="left"/>
      <w:pPr>
        <w:tabs>
          <w:tab w:val="num" w:pos="4822"/>
        </w:tabs>
        <w:ind w:left="4822" w:hanging="360"/>
      </w:pPr>
      <w:rPr>
        <w:rFonts w:ascii="Wingdings 3" w:hAnsi="Wingdings 3" w:hint="default"/>
      </w:rPr>
    </w:lvl>
    <w:lvl w:ilvl="7" w:tplc="F142F794" w:tentative="1">
      <w:start w:val="1"/>
      <w:numFmt w:val="bullet"/>
      <w:lvlText w:val=""/>
      <w:lvlJc w:val="left"/>
      <w:pPr>
        <w:tabs>
          <w:tab w:val="num" w:pos="5542"/>
        </w:tabs>
        <w:ind w:left="5542" w:hanging="360"/>
      </w:pPr>
      <w:rPr>
        <w:rFonts w:ascii="Wingdings 3" w:hAnsi="Wingdings 3" w:hint="default"/>
      </w:rPr>
    </w:lvl>
    <w:lvl w:ilvl="8" w:tplc="7AEE59D0" w:tentative="1">
      <w:start w:val="1"/>
      <w:numFmt w:val="bullet"/>
      <w:lvlText w:val=""/>
      <w:lvlJc w:val="left"/>
      <w:pPr>
        <w:tabs>
          <w:tab w:val="num" w:pos="6262"/>
        </w:tabs>
        <w:ind w:left="6262" w:hanging="360"/>
      </w:pPr>
      <w:rPr>
        <w:rFonts w:ascii="Wingdings 3" w:hAnsi="Wingdings 3" w:hint="default"/>
      </w:rPr>
    </w:lvl>
  </w:abstractNum>
  <w:abstractNum w:abstractNumId="5">
    <w:nsid w:val="7B024A57"/>
    <w:multiLevelType w:val="hybridMultilevel"/>
    <w:tmpl w:val="4DDA026E"/>
    <w:lvl w:ilvl="0" w:tplc="803635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C052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2080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4025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30E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7ED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48C7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9AFA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A45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A462B"/>
    <w:rsid w:val="0000208F"/>
    <w:rsid w:val="00046650"/>
    <w:rsid w:val="001564F2"/>
    <w:rsid w:val="002E119A"/>
    <w:rsid w:val="00312764"/>
    <w:rsid w:val="00396F10"/>
    <w:rsid w:val="0077499E"/>
    <w:rsid w:val="007C626D"/>
    <w:rsid w:val="0081050A"/>
    <w:rsid w:val="00B47B06"/>
    <w:rsid w:val="00D70EEB"/>
    <w:rsid w:val="00DA462B"/>
    <w:rsid w:val="00E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1</cp:lastModifiedBy>
  <cp:revision>2</cp:revision>
  <cp:lastPrinted>2019-10-11T06:44:00Z</cp:lastPrinted>
  <dcterms:created xsi:type="dcterms:W3CDTF">2019-10-16T06:56:00Z</dcterms:created>
  <dcterms:modified xsi:type="dcterms:W3CDTF">2019-10-16T06:56:00Z</dcterms:modified>
</cp:coreProperties>
</file>