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FC" w:rsidRDefault="007177FC" w:rsidP="007177FC">
      <w:pPr>
        <w:spacing w:after="0" w:line="240" w:lineRule="auto"/>
        <w:jc w:val="both"/>
        <w:outlineLvl w:val="0"/>
        <w:rPr>
          <w:rFonts w:ascii="Times New Roman" w:eastAsia="Times New Roman" w:hAnsi="Times New Roman" w:cs="Times New Roman"/>
          <w:b/>
          <w:bCs/>
          <w:caps/>
          <w:color w:val="454E72"/>
          <w:spacing w:val="-15"/>
          <w:kern w:val="36"/>
          <w:sz w:val="28"/>
          <w:szCs w:val="28"/>
          <w:lang w:eastAsia="ru-RU"/>
        </w:rPr>
      </w:pPr>
      <w:r w:rsidRPr="007177FC">
        <w:rPr>
          <w:rFonts w:ascii="Times New Roman" w:eastAsia="Times New Roman" w:hAnsi="Times New Roman" w:cs="Times New Roman"/>
          <w:b/>
          <w:bCs/>
          <w:caps/>
          <w:color w:val="454E72"/>
          <w:spacing w:val="-15"/>
          <w:kern w:val="36"/>
          <w:sz w:val="28"/>
          <w:szCs w:val="28"/>
          <w:lang w:eastAsia="ru-RU"/>
        </w:rPr>
        <w:t>Письменные обращения</w:t>
      </w:r>
    </w:p>
    <w:p w:rsidR="007177FC" w:rsidRPr="007177FC" w:rsidRDefault="007177FC" w:rsidP="007177FC">
      <w:pPr>
        <w:spacing w:after="0" w:line="240" w:lineRule="auto"/>
        <w:jc w:val="both"/>
        <w:outlineLvl w:val="0"/>
        <w:rPr>
          <w:rFonts w:ascii="Times New Roman" w:eastAsia="Times New Roman" w:hAnsi="Times New Roman" w:cs="Times New Roman"/>
          <w:b/>
          <w:bCs/>
          <w:caps/>
          <w:color w:val="454E72"/>
          <w:spacing w:val="-15"/>
          <w:kern w:val="36"/>
          <w:sz w:val="28"/>
          <w:szCs w:val="28"/>
          <w:lang w:eastAsia="ru-RU"/>
        </w:rPr>
      </w:pPr>
    </w:p>
    <w:p w:rsidR="007177FC" w:rsidRPr="007177FC" w:rsidRDefault="007177FC" w:rsidP="007177FC">
      <w:pPr>
        <w:shd w:val="clear" w:color="auto" w:fill="FFFFFF"/>
        <w:spacing w:after="100" w:afterAutospacing="1" w:line="240" w:lineRule="auto"/>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b/>
          <w:bCs/>
          <w:color w:val="454E72"/>
          <w:sz w:val="28"/>
          <w:szCs w:val="28"/>
          <w:lang w:eastAsia="ru-RU"/>
        </w:rPr>
        <w:t>Адрес для направления письменных обращений: </w:t>
      </w:r>
      <w:r>
        <w:rPr>
          <w:rFonts w:ascii="Times New Roman" w:eastAsia="Times New Roman" w:hAnsi="Times New Roman" w:cs="Times New Roman"/>
          <w:b/>
          <w:bCs/>
          <w:color w:val="454E72"/>
          <w:sz w:val="28"/>
          <w:szCs w:val="28"/>
          <w:lang w:eastAsia="ru-RU"/>
        </w:rPr>
        <w:t>247131</w:t>
      </w:r>
      <w:r w:rsidRPr="007177FC">
        <w:rPr>
          <w:rFonts w:ascii="Times New Roman" w:eastAsia="Times New Roman" w:hAnsi="Times New Roman" w:cs="Times New Roman"/>
          <w:b/>
          <w:bCs/>
          <w:color w:val="454E72"/>
          <w:sz w:val="28"/>
          <w:szCs w:val="28"/>
          <w:lang w:eastAsia="ru-RU"/>
        </w:rPr>
        <w:t xml:space="preserve">, г. </w:t>
      </w:r>
      <w:r>
        <w:rPr>
          <w:rFonts w:ascii="Times New Roman" w:eastAsia="Times New Roman" w:hAnsi="Times New Roman" w:cs="Times New Roman"/>
          <w:b/>
          <w:bCs/>
          <w:color w:val="454E72"/>
          <w:sz w:val="28"/>
          <w:szCs w:val="28"/>
          <w:lang w:eastAsia="ru-RU"/>
        </w:rPr>
        <w:t>Ветка</w:t>
      </w:r>
      <w:r w:rsidRPr="007177FC">
        <w:rPr>
          <w:rFonts w:ascii="Times New Roman" w:eastAsia="Times New Roman" w:hAnsi="Times New Roman" w:cs="Times New Roman"/>
          <w:b/>
          <w:bCs/>
          <w:color w:val="454E72"/>
          <w:sz w:val="28"/>
          <w:szCs w:val="28"/>
          <w:lang w:eastAsia="ru-RU"/>
        </w:rPr>
        <w:t>, ул.</w:t>
      </w:r>
      <w:r>
        <w:rPr>
          <w:rFonts w:ascii="Times New Roman" w:eastAsia="Times New Roman" w:hAnsi="Times New Roman" w:cs="Times New Roman"/>
          <w:b/>
          <w:bCs/>
          <w:color w:val="454E72"/>
          <w:sz w:val="28"/>
          <w:szCs w:val="28"/>
          <w:lang w:eastAsia="ru-RU"/>
        </w:rPr>
        <w:t xml:space="preserve"> Октябрьская</w:t>
      </w:r>
      <w:r w:rsidRPr="007177FC">
        <w:rPr>
          <w:rFonts w:ascii="Times New Roman" w:eastAsia="Times New Roman" w:hAnsi="Times New Roman" w:cs="Times New Roman"/>
          <w:b/>
          <w:bCs/>
          <w:color w:val="454E72"/>
          <w:sz w:val="28"/>
          <w:szCs w:val="28"/>
          <w:lang w:eastAsia="ru-RU"/>
        </w:rPr>
        <w:t>,</w:t>
      </w:r>
      <w:r>
        <w:rPr>
          <w:rFonts w:ascii="Times New Roman" w:eastAsia="Times New Roman" w:hAnsi="Times New Roman" w:cs="Times New Roman"/>
          <w:b/>
          <w:bCs/>
          <w:color w:val="454E72"/>
          <w:sz w:val="28"/>
          <w:szCs w:val="28"/>
          <w:lang w:eastAsia="ru-RU"/>
        </w:rPr>
        <w:t xml:space="preserve"> д.24 </w:t>
      </w:r>
    </w:p>
    <w:p w:rsidR="007177FC" w:rsidRPr="007177FC" w:rsidRDefault="007177FC" w:rsidP="007177FC">
      <w:pPr>
        <w:shd w:val="clear" w:color="auto" w:fill="FFFFFF"/>
        <w:spacing w:after="100" w:afterAutospacing="1" w:line="240" w:lineRule="auto"/>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b/>
          <w:bCs/>
          <w:color w:val="454E72"/>
          <w:sz w:val="28"/>
          <w:szCs w:val="28"/>
          <w:lang w:eastAsia="ru-RU"/>
        </w:rPr>
        <w:t>В целях принятия надлежащих мер по защите, обеспечению реализации, восстановлению прав, свобод и (или) законных интересов заявителей, в учреждении действует порядок рассмотрения письменных обращений.</w:t>
      </w:r>
    </w:p>
    <w:p w:rsidR="007177FC" w:rsidRPr="007177FC" w:rsidRDefault="007177FC" w:rsidP="007177FC">
      <w:pPr>
        <w:shd w:val="clear" w:color="auto" w:fill="FFFFFF"/>
        <w:spacing w:after="100" w:afterAutospacing="1" w:line="240" w:lineRule="auto"/>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b/>
          <w:bCs/>
          <w:color w:val="454E72"/>
          <w:sz w:val="28"/>
          <w:szCs w:val="28"/>
          <w:lang w:eastAsia="ru-RU"/>
        </w:rPr>
        <w:t>Письменные обращения заявителей должны соответствовать требованиям, установленным в пунктах 1, 2 статьи 12 Закона Республики Беларусь от 18 июля 2011 г. № 300-З «Об обращениях граждан и юридических лиц» (с изменениями и дополнениями) (далее — Закон):</w:t>
      </w:r>
    </w:p>
    <w:p w:rsidR="007177FC" w:rsidRPr="007177FC" w:rsidRDefault="007177FC" w:rsidP="007177FC">
      <w:pPr>
        <w:shd w:val="clear" w:color="auto" w:fill="FFFFFF"/>
        <w:spacing w:after="100" w:afterAutospacing="1" w:line="240" w:lineRule="auto"/>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1. Обращения излагаются на белорусском или русском языке.</w:t>
      </w:r>
    </w:p>
    <w:p w:rsidR="007177FC" w:rsidRPr="007177FC" w:rsidRDefault="007177FC" w:rsidP="007177FC">
      <w:pPr>
        <w:shd w:val="clear" w:color="auto" w:fill="FFFFFF"/>
        <w:spacing w:after="100" w:afterAutospacing="1" w:line="240" w:lineRule="auto"/>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2. Письменные обращения граждан должны содержать:</w:t>
      </w:r>
    </w:p>
    <w:p w:rsidR="007177FC" w:rsidRPr="007177FC" w:rsidRDefault="007177FC" w:rsidP="007177FC">
      <w:pPr>
        <w:numPr>
          <w:ilvl w:val="0"/>
          <w:numId w:val="1"/>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proofErr w:type="gramStart"/>
      <w:r w:rsidRPr="007177FC">
        <w:rPr>
          <w:rFonts w:ascii="Times New Roman" w:eastAsia="Times New Roman" w:hAnsi="Times New Roman" w:cs="Times New Roman"/>
          <w:color w:val="454E72"/>
          <w:sz w:val="28"/>
          <w:szCs w:val="28"/>
          <w:lang w:eastAsia="ru-RU"/>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roofErr w:type="gramEnd"/>
    </w:p>
    <w:p w:rsidR="007177FC" w:rsidRPr="007177FC" w:rsidRDefault="007177FC" w:rsidP="007177FC">
      <w:pPr>
        <w:numPr>
          <w:ilvl w:val="0"/>
          <w:numId w:val="1"/>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фамилию, собственное имя, отчество (если таковое имеется) либо инициалы гражданина, адрес его места жительства (места пребывания);</w:t>
      </w:r>
    </w:p>
    <w:p w:rsidR="007177FC" w:rsidRPr="007177FC" w:rsidRDefault="007177FC" w:rsidP="007177FC">
      <w:pPr>
        <w:numPr>
          <w:ilvl w:val="0"/>
          <w:numId w:val="1"/>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изложение сути обращения;</w:t>
      </w:r>
    </w:p>
    <w:p w:rsidR="007177FC" w:rsidRPr="007177FC" w:rsidRDefault="007177FC" w:rsidP="007177FC">
      <w:pPr>
        <w:numPr>
          <w:ilvl w:val="0"/>
          <w:numId w:val="1"/>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личную подпись гражданина (граждан).</w:t>
      </w:r>
    </w:p>
    <w:p w:rsidR="007177FC" w:rsidRPr="007177FC" w:rsidRDefault="007177FC" w:rsidP="007177FC">
      <w:pPr>
        <w:shd w:val="clear" w:color="auto" w:fill="FFFFFF"/>
        <w:spacing w:after="100" w:afterAutospacing="1" w:line="240" w:lineRule="auto"/>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3. Письменные обращения юридических лиц должны содержать:</w:t>
      </w:r>
    </w:p>
    <w:p w:rsidR="007177FC" w:rsidRPr="007177FC" w:rsidRDefault="007177FC" w:rsidP="007177FC">
      <w:pPr>
        <w:numPr>
          <w:ilvl w:val="0"/>
          <w:numId w:val="2"/>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proofErr w:type="gramStart"/>
      <w:r w:rsidRPr="007177FC">
        <w:rPr>
          <w:rFonts w:ascii="Times New Roman" w:eastAsia="Times New Roman" w:hAnsi="Times New Roman" w:cs="Times New Roman"/>
          <w:color w:val="454E72"/>
          <w:sz w:val="28"/>
          <w:szCs w:val="28"/>
          <w:lang w:eastAsia="ru-RU"/>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roofErr w:type="gramEnd"/>
    </w:p>
    <w:p w:rsidR="007177FC" w:rsidRPr="007177FC" w:rsidRDefault="007177FC" w:rsidP="007177FC">
      <w:pPr>
        <w:numPr>
          <w:ilvl w:val="0"/>
          <w:numId w:val="2"/>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полное наименование юридического лица и его место нахождения;</w:t>
      </w:r>
    </w:p>
    <w:p w:rsidR="007177FC" w:rsidRPr="007177FC" w:rsidRDefault="007177FC" w:rsidP="007177FC">
      <w:pPr>
        <w:numPr>
          <w:ilvl w:val="0"/>
          <w:numId w:val="2"/>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изложение сути обращения;</w:t>
      </w:r>
    </w:p>
    <w:p w:rsidR="007177FC" w:rsidRPr="007177FC" w:rsidRDefault="007177FC" w:rsidP="007177FC">
      <w:pPr>
        <w:numPr>
          <w:ilvl w:val="0"/>
          <w:numId w:val="2"/>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7177FC" w:rsidRPr="007177FC" w:rsidRDefault="007177FC" w:rsidP="007177FC">
      <w:pPr>
        <w:numPr>
          <w:ilvl w:val="0"/>
          <w:numId w:val="2"/>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личную подпись руководителя или лица, уполномоченного в установленном порядке подписывать обращения, заверенную печатью юридического лица.</w:t>
      </w:r>
    </w:p>
    <w:p w:rsidR="007177FC" w:rsidRPr="007177FC" w:rsidRDefault="007177FC" w:rsidP="007177FC">
      <w:pPr>
        <w:shd w:val="clear" w:color="auto" w:fill="FFFFFF"/>
        <w:spacing w:after="100" w:afterAutospacing="1" w:line="240" w:lineRule="auto"/>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7177FC" w:rsidRPr="007177FC" w:rsidRDefault="007177FC" w:rsidP="007177FC">
      <w:pPr>
        <w:shd w:val="clear" w:color="auto" w:fill="FFFFFF"/>
        <w:spacing w:after="100" w:afterAutospacing="1" w:line="240" w:lineRule="auto"/>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 xml:space="preserve">5. Текст обращения должен поддаваться прочтению. Рукописные обращения должны быть написаны четким, разборчивым почерком. Не допускается </w:t>
      </w:r>
      <w:r w:rsidRPr="007177FC">
        <w:rPr>
          <w:rFonts w:ascii="Times New Roman" w:eastAsia="Times New Roman" w:hAnsi="Times New Roman" w:cs="Times New Roman"/>
          <w:color w:val="454E72"/>
          <w:sz w:val="28"/>
          <w:szCs w:val="28"/>
          <w:lang w:eastAsia="ru-RU"/>
        </w:rPr>
        <w:lastRenderedPageBreak/>
        <w:t>употребление в обращениях нецензурных либо оскорбительных слов или выражений.</w:t>
      </w:r>
    </w:p>
    <w:p w:rsidR="007177FC" w:rsidRPr="007177FC" w:rsidRDefault="007177FC" w:rsidP="007177FC">
      <w:pPr>
        <w:shd w:val="clear" w:color="auto" w:fill="FFFFFF"/>
        <w:spacing w:after="100" w:afterAutospacing="1" w:line="240" w:lineRule="auto"/>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6. В случаях, когда гражданин не имеет возможности лично обратиться с предложением, заявлением или жалобой, он может поручить сделать это от его имени другому лицу.</w:t>
      </w:r>
    </w:p>
    <w:p w:rsidR="007177FC" w:rsidRPr="007177FC" w:rsidRDefault="007177FC" w:rsidP="007177FC">
      <w:pPr>
        <w:numPr>
          <w:ilvl w:val="0"/>
          <w:numId w:val="3"/>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Обращение от имени недееспособного гражданина или признанного ограниченно дееспособным подает его законный представитель.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установленным гражданским законодательством.</w:t>
      </w:r>
    </w:p>
    <w:p w:rsidR="007177FC" w:rsidRPr="007177FC" w:rsidRDefault="007177FC" w:rsidP="007177FC">
      <w:pPr>
        <w:shd w:val="clear" w:color="auto" w:fill="FFFFFF"/>
        <w:spacing w:after="100" w:afterAutospacing="1" w:line="240" w:lineRule="auto"/>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К письменным обращениям, подаваемым представителями заявителей, прилагаются документы, подтверждающие их полномочия.</w:t>
      </w:r>
    </w:p>
    <w:p w:rsidR="007177FC" w:rsidRPr="007177FC" w:rsidRDefault="007177FC" w:rsidP="007177FC">
      <w:pPr>
        <w:shd w:val="clear" w:color="auto" w:fill="FFFFFF"/>
        <w:spacing w:after="100" w:afterAutospacing="1" w:line="240" w:lineRule="auto"/>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7177FC" w:rsidRPr="007177FC" w:rsidRDefault="007177FC" w:rsidP="007177FC">
      <w:pPr>
        <w:shd w:val="clear" w:color="auto" w:fill="FFFFFF"/>
        <w:spacing w:after="100" w:afterAutospacing="1" w:line="240" w:lineRule="auto"/>
        <w:jc w:val="both"/>
        <w:rPr>
          <w:rFonts w:ascii="Times New Roman" w:eastAsia="Times New Roman" w:hAnsi="Times New Roman" w:cs="Times New Roman"/>
          <w:color w:val="454E72"/>
          <w:sz w:val="28"/>
          <w:szCs w:val="28"/>
          <w:lang w:eastAsia="ru-RU"/>
        </w:rPr>
      </w:pPr>
      <w:proofErr w:type="gramStart"/>
      <w:r w:rsidRPr="007177FC">
        <w:rPr>
          <w:rFonts w:ascii="Times New Roman" w:eastAsia="Times New Roman" w:hAnsi="Times New Roman" w:cs="Times New Roman"/>
          <w:color w:val="454E72"/>
          <w:sz w:val="28"/>
          <w:szCs w:val="28"/>
          <w:lang w:eastAsia="ru-RU"/>
        </w:rPr>
        <w:t>При поступлении в государственное учреждение «</w:t>
      </w:r>
      <w:r>
        <w:rPr>
          <w:rFonts w:ascii="Times New Roman" w:eastAsia="Times New Roman" w:hAnsi="Times New Roman" w:cs="Times New Roman"/>
          <w:color w:val="454E72"/>
          <w:sz w:val="28"/>
          <w:szCs w:val="28"/>
          <w:lang w:eastAsia="ru-RU"/>
        </w:rPr>
        <w:t>Ветковский районный центр гигиены и эпидемиологии</w:t>
      </w:r>
      <w:r w:rsidRPr="007177FC">
        <w:rPr>
          <w:rFonts w:ascii="Times New Roman" w:eastAsia="Times New Roman" w:hAnsi="Times New Roman" w:cs="Times New Roman"/>
          <w:color w:val="454E72"/>
          <w:sz w:val="28"/>
          <w:szCs w:val="28"/>
          <w:lang w:eastAsia="ru-RU"/>
        </w:rPr>
        <w:t>» письменного обращения, содержащего вопросы, решение которых не относится к его компетенции, а также в случае поступления письменного обращения в государственное учреждение «</w:t>
      </w:r>
      <w:r>
        <w:rPr>
          <w:rFonts w:ascii="Times New Roman" w:eastAsia="Times New Roman" w:hAnsi="Times New Roman" w:cs="Times New Roman"/>
          <w:color w:val="454E72"/>
          <w:sz w:val="28"/>
          <w:szCs w:val="28"/>
          <w:lang w:eastAsia="ru-RU"/>
        </w:rPr>
        <w:t>Ветковский районный центр гигиены и эпидемиологии</w:t>
      </w:r>
      <w:r w:rsidRPr="007177FC">
        <w:rPr>
          <w:rFonts w:ascii="Times New Roman" w:eastAsia="Times New Roman" w:hAnsi="Times New Roman" w:cs="Times New Roman"/>
          <w:color w:val="454E72"/>
          <w:sz w:val="28"/>
          <w:szCs w:val="28"/>
          <w:lang w:eastAsia="ru-RU"/>
        </w:rPr>
        <w:t>» без соблюдения порядка рассмотрения, установленного Указом Президента Республики Беларусь от 15 октября 2007 № 498 «О дополнительных мерах по работе с обращениями граждан</w:t>
      </w:r>
      <w:proofErr w:type="gramEnd"/>
      <w:r w:rsidRPr="007177FC">
        <w:rPr>
          <w:rFonts w:ascii="Times New Roman" w:eastAsia="Times New Roman" w:hAnsi="Times New Roman" w:cs="Times New Roman"/>
          <w:color w:val="454E72"/>
          <w:sz w:val="28"/>
          <w:szCs w:val="28"/>
          <w:lang w:eastAsia="ru-RU"/>
        </w:rPr>
        <w:t xml:space="preserve"> и юридических лиц» (с изменениями и дополнениями) (далее – Указ), данное обращение в течени</w:t>
      </w:r>
      <w:proofErr w:type="gramStart"/>
      <w:r w:rsidRPr="007177FC">
        <w:rPr>
          <w:rFonts w:ascii="Times New Roman" w:eastAsia="Times New Roman" w:hAnsi="Times New Roman" w:cs="Times New Roman"/>
          <w:color w:val="454E72"/>
          <w:sz w:val="28"/>
          <w:szCs w:val="28"/>
          <w:lang w:eastAsia="ru-RU"/>
        </w:rPr>
        <w:t>и</w:t>
      </w:r>
      <w:proofErr w:type="gramEnd"/>
      <w:r w:rsidRPr="007177FC">
        <w:rPr>
          <w:rFonts w:ascii="Times New Roman" w:eastAsia="Times New Roman" w:hAnsi="Times New Roman" w:cs="Times New Roman"/>
          <w:color w:val="454E72"/>
          <w:sz w:val="28"/>
          <w:szCs w:val="28"/>
          <w:lang w:eastAsia="ru-RU"/>
        </w:rPr>
        <w:t xml:space="preserve"> пяти рабочих дней направляется для рассмотрения в органы или организации, к компетенции которых относится рассмотрение данного обращения, о чем в день направления в орган или организацию уведомляется заявитель, либо в тот же срок в порядке, установленном Законом, оставляет обращения без рассмотрения по существу и уведомляют об этом заявителя с разъяснением, в какую организацию и в каком порядке следует обратиться для решения вопросов, изложенных в обращении.</w:t>
      </w:r>
    </w:p>
    <w:p w:rsidR="007177FC" w:rsidRPr="007177FC" w:rsidRDefault="007177FC" w:rsidP="007177FC">
      <w:pPr>
        <w:shd w:val="clear" w:color="auto" w:fill="FFFFFF"/>
        <w:spacing w:after="100" w:afterAutospacing="1" w:line="240" w:lineRule="auto"/>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b/>
          <w:bCs/>
          <w:color w:val="454E72"/>
          <w:sz w:val="28"/>
          <w:szCs w:val="28"/>
          <w:lang w:eastAsia="ru-RU"/>
        </w:rPr>
        <w:t>Письменные обращения могут быть оставлены без рассмотрения по существу в порядке и в случаях, определенных статьей 15 Закона:</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proofErr w:type="gramStart"/>
      <w:r w:rsidRPr="007177FC">
        <w:rPr>
          <w:rFonts w:ascii="Times New Roman" w:eastAsia="Times New Roman" w:hAnsi="Times New Roman" w:cs="Times New Roman"/>
          <w:color w:val="454E72"/>
          <w:sz w:val="28"/>
          <w:szCs w:val="28"/>
          <w:lang w:eastAsia="ru-RU"/>
        </w:rPr>
        <w:t>изложены</w:t>
      </w:r>
      <w:proofErr w:type="gramEnd"/>
      <w:r w:rsidRPr="007177FC">
        <w:rPr>
          <w:rFonts w:ascii="Times New Roman" w:eastAsia="Times New Roman" w:hAnsi="Times New Roman" w:cs="Times New Roman"/>
          <w:color w:val="454E72"/>
          <w:sz w:val="28"/>
          <w:szCs w:val="28"/>
          <w:lang w:eastAsia="ru-RU"/>
        </w:rPr>
        <w:t xml:space="preserve"> не на белорусском или русском языке;</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не содержат фамилии, собственного имени, отчества (если таковое имеется) либо инициалы, адреса места жительства (места пребывания) гражданина;</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не изложена суть обращения;</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не содержит личную подпись гражданина (граждан);</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lastRenderedPageBreak/>
        <w:t>не содержит наименование и (или) адрес организации либо должность лица, которым направляется обращение;</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не содержит полное наименование юридического лица и его место нахождения;</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не содержит 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не содержит личную подпись руководителя или лица, уполномоченного в установленном порядке подписывать обращения, заверенную печатью юридического лица;</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к письменным обращениям, подаваемым представителями заявителей, не прилагаются документы, подтверждающие их полномочия;</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содержат текст, не поддающийся прочтению;</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содержат нецензурные либо оскорбительные слова или выражения;</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не приложены документы, подтверждающие полномочия (в случае подачи обращения представителями заявителей);</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не приложены документы;</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либо в соответствии с законодательными актами установлен иной порядок подачи и рассмотрения таких обращений;</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содержат вопросы, не относящиеся к компетенции государственного учреждения «</w:t>
      </w:r>
      <w:r>
        <w:rPr>
          <w:rFonts w:ascii="Times New Roman" w:eastAsia="Times New Roman" w:hAnsi="Times New Roman" w:cs="Times New Roman"/>
          <w:color w:val="454E72"/>
          <w:sz w:val="28"/>
          <w:szCs w:val="28"/>
          <w:lang w:eastAsia="ru-RU"/>
        </w:rPr>
        <w:t>Ветковский районный центр гигиены и эпидемиологии</w:t>
      </w:r>
      <w:r w:rsidRPr="007177FC">
        <w:rPr>
          <w:rFonts w:ascii="Times New Roman" w:eastAsia="Times New Roman" w:hAnsi="Times New Roman" w:cs="Times New Roman"/>
          <w:color w:val="454E72"/>
          <w:sz w:val="28"/>
          <w:szCs w:val="28"/>
          <w:lang w:eastAsia="ru-RU"/>
        </w:rPr>
        <w:t>»;</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пропущен без уважительной причины срок подачи жалобы;</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подано повторное обращение, в том числе внесенное в книгу замечаний и предложений, если оно уже было рассмотрено по существу и в нем не содержатся новые обстоятельства, имеющие значение для рассмотрения обращения по существу;</w:t>
      </w:r>
    </w:p>
    <w:p w:rsidR="007177FC" w:rsidRPr="007177FC" w:rsidRDefault="007177FC" w:rsidP="007177FC">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с заявителем прекращена переписка.</w:t>
      </w:r>
    </w:p>
    <w:p w:rsidR="007177FC" w:rsidRPr="007177FC" w:rsidRDefault="007177FC" w:rsidP="007177FC">
      <w:pPr>
        <w:numPr>
          <w:ilvl w:val="0"/>
          <w:numId w:val="4"/>
        </w:numPr>
        <w:shd w:val="clear" w:color="auto" w:fill="FFFFFF"/>
        <w:spacing w:after="0" w:line="240" w:lineRule="auto"/>
        <w:ind w:left="0"/>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7177FC" w:rsidRPr="007177FC" w:rsidRDefault="007177FC" w:rsidP="007177FC">
      <w:pPr>
        <w:shd w:val="clear" w:color="auto" w:fill="FFFFFF"/>
        <w:spacing w:after="100" w:afterAutospacing="1" w:line="240" w:lineRule="auto"/>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Заявитель имеет право отозвать свое обращение до рассмотрения его по существу путем подачи соответствующего письменного заявления.</w:t>
      </w:r>
    </w:p>
    <w:p w:rsidR="007177FC" w:rsidRPr="007177FC" w:rsidRDefault="007177FC" w:rsidP="007177FC">
      <w:pPr>
        <w:shd w:val="clear" w:color="auto" w:fill="FFFFFF"/>
        <w:spacing w:after="100" w:afterAutospacing="1" w:line="240" w:lineRule="auto"/>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В случае отзыва заявителем своего обращения государственное учреждение «</w:t>
      </w:r>
      <w:r>
        <w:rPr>
          <w:rFonts w:ascii="Times New Roman" w:eastAsia="Times New Roman" w:hAnsi="Times New Roman" w:cs="Times New Roman"/>
          <w:color w:val="454E72"/>
          <w:sz w:val="28"/>
          <w:szCs w:val="28"/>
          <w:lang w:eastAsia="ru-RU"/>
        </w:rPr>
        <w:t>Ветковский районный центр гигиены и эпидемиологии</w:t>
      </w:r>
      <w:r w:rsidRPr="007177FC">
        <w:rPr>
          <w:rFonts w:ascii="Times New Roman" w:eastAsia="Times New Roman" w:hAnsi="Times New Roman" w:cs="Times New Roman"/>
          <w:color w:val="454E72"/>
          <w:sz w:val="28"/>
          <w:szCs w:val="28"/>
          <w:lang w:eastAsia="ru-RU"/>
        </w:rPr>
        <w:t>»  прекращает рассмотрение этого обращения по существу и возвращает заявителю оригиналы документов, приложенных к обращению.</w:t>
      </w:r>
    </w:p>
    <w:p w:rsidR="007177FC" w:rsidRPr="007177FC" w:rsidRDefault="007177FC" w:rsidP="007177FC">
      <w:pPr>
        <w:shd w:val="clear" w:color="auto" w:fill="FFFFFF"/>
        <w:spacing w:after="100" w:afterAutospacing="1" w:line="240" w:lineRule="auto"/>
        <w:jc w:val="both"/>
        <w:rPr>
          <w:rFonts w:ascii="Times New Roman" w:eastAsia="Times New Roman" w:hAnsi="Times New Roman" w:cs="Times New Roman"/>
          <w:color w:val="454E72"/>
          <w:sz w:val="28"/>
          <w:szCs w:val="28"/>
          <w:lang w:eastAsia="ru-RU"/>
        </w:rPr>
      </w:pPr>
      <w:proofErr w:type="gramStart"/>
      <w:r w:rsidRPr="007177FC">
        <w:rPr>
          <w:rFonts w:ascii="Times New Roman" w:eastAsia="Times New Roman" w:hAnsi="Times New Roman" w:cs="Times New Roman"/>
          <w:color w:val="454E72"/>
          <w:sz w:val="28"/>
          <w:szCs w:val="28"/>
          <w:lang w:eastAsia="ru-RU"/>
        </w:rPr>
        <w:t xml:space="preserve">Анонимные обращения, то есть обращения заявителей, в которых не указаны фамилия, собственное имя, отчество (если таковое имеется) либо инициалы </w:t>
      </w:r>
      <w:r w:rsidRPr="007177FC">
        <w:rPr>
          <w:rFonts w:ascii="Times New Roman" w:eastAsia="Times New Roman" w:hAnsi="Times New Roman" w:cs="Times New Roman"/>
          <w:color w:val="454E72"/>
          <w:sz w:val="28"/>
          <w:szCs w:val="28"/>
          <w:lang w:eastAsia="ru-RU"/>
        </w:rPr>
        <w:lastRenderedPageBreak/>
        <w:t>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roofErr w:type="gramEnd"/>
    </w:p>
    <w:p w:rsidR="007177FC" w:rsidRPr="007177FC" w:rsidRDefault="007177FC" w:rsidP="007177FC">
      <w:pPr>
        <w:shd w:val="clear" w:color="auto" w:fill="FFFFFF"/>
        <w:spacing w:after="100" w:afterAutospacing="1" w:line="240" w:lineRule="auto"/>
        <w:jc w:val="both"/>
        <w:rPr>
          <w:rFonts w:ascii="Times New Roman" w:eastAsia="Times New Roman" w:hAnsi="Times New Roman" w:cs="Times New Roman"/>
          <w:color w:val="454E72"/>
          <w:sz w:val="28"/>
          <w:szCs w:val="28"/>
          <w:lang w:eastAsia="ru-RU"/>
        </w:rPr>
      </w:pPr>
      <w:r w:rsidRPr="007177FC">
        <w:rPr>
          <w:rFonts w:ascii="Times New Roman" w:eastAsia="Times New Roman" w:hAnsi="Times New Roman" w:cs="Times New Roman"/>
          <w:color w:val="454E72"/>
          <w:sz w:val="28"/>
          <w:szCs w:val="28"/>
          <w:lang w:eastAsia="ru-RU"/>
        </w:rPr>
        <w:t>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7177FC" w:rsidRPr="007177FC" w:rsidRDefault="007177FC" w:rsidP="007177FC">
      <w:pPr>
        <w:shd w:val="clear" w:color="auto" w:fill="FFFFFF"/>
        <w:spacing w:after="0" w:line="240" w:lineRule="auto"/>
        <w:jc w:val="both"/>
        <w:rPr>
          <w:rFonts w:ascii="Times New Roman" w:eastAsia="Times New Roman" w:hAnsi="Times New Roman" w:cs="Times New Roman"/>
          <w:color w:val="454E72"/>
          <w:sz w:val="28"/>
          <w:szCs w:val="28"/>
          <w:lang w:eastAsia="ru-RU"/>
        </w:rPr>
      </w:pPr>
      <w:proofErr w:type="gramStart"/>
      <w:r w:rsidRPr="007177FC">
        <w:rPr>
          <w:rFonts w:ascii="Times New Roman" w:eastAsia="Times New Roman" w:hAnsi="Times New Roman" w:cs="Times New Roman"/>
          <w:color w:val="454E72"/>
          <w:sz w:val="28"/>
          <w:szCs w:val="28"/>
          <w:lang w:eastAsia="ru-RU"/>
        </w:rPr>
        <w:t>Ответ государственного учреждения «</w:t>
      </w:r>
      <w:r>
        <w:rPr>
          <w:rFonts w:ascii="Times New Roman" w:eastAsia="Times New Roman" w:hAnsi="Times New Roman" w:cs="Times New Roman"/>
          <w:color w:val="454E72"/>
          <w:sz w:val="28"/>
          <w:szCs w:val="28"/>
          <w:lang w:eastAsia="ru-RU"/>
        </w:rPr>
        <w:t>Ветковский районный центр гигиены и эпидемиологии</w:t>
      </w:r>
      <w:r w:rsidRPr="007177FC">
        <w:rPr>
          <w:rFonts w:ascii="Times New Roman" w:eastAsia="Times New Roman" w:hAnsi="Times New Roman" w:cs="Times New Roman"/>
          <w:color w:val="454E72"/>
          <w:sz w:val="28"/>
          <w:szCs w:val="28"/>
          <w:lang w:eastAsia="ru-RU"/>
        </w:rPr>
        <w:t>» на обращение или решение об оставлении обращения без рассмотрения по существу мог</w:t>
      </w:r>
      <w:r>
        <w:rPr>
          <w:rFonts w:ascii="Times New Roman" w:eastAsia="Times New Roman" w:hAnsi="Times New Roman" w:cs="Times New Roman"/>
          <w:color w:val="454E72"/>
          <w:sz w:val="28"/>
          <w:szCs w:val="28"/>
          <w:lang w:eastAsia="ru-RU"/>
        </w:rPr>
        <w:t>ут быть обжалованы в вышестоящих организациях</w:t>
      </w:r>
      <w:r w:rsidRPr="007177FC">
        <w:rPr>
          <w:rFonts w:ascii="Times New Roman" w:eastAsia="Times New Roman" w:hAnsi="Times New Roman" w:cs="Times New Roman"/>
          <w:color w:val="454E72"/>
          <w:sz w:val="28"/>
          <w:szCs w:val="28"/>
          <w:lang w:eastAsia="ru-RU"/>
        </w:rPr>
        <w:t xml:space="preserve"> (государственного учреждения «Гомельский областной центр гигиены, эпидемио</w:t>
      </w:r>
      <w:r>
        <w:rPr>
          <w:rFonts w:ascii="Times New Roman" w:eastAsia="Times New Roman" w:hAnsi="Times New Roman" w:cs="Times New Roman"/>
          <w:color w:val="454E72"/>
          <w:sz w:val="28"/>
          <w:szCs w:val="28"/>
          <w:lang w:eastAsia="ru-RU"/>
        </w:rPr>
        <w:t xml:space="preserve">логии и общественного здоровья», г. Гомель, ул. Моисеенко, д. </w:t>
      </w:r>
      <w:proofErr w:type="gramEnd"/>
      <w:r>
        <w:rPr>
          <w:rFonts w:ascii="Times New Roman" w:eastAsia="Times New Roman" w:hAnsi="Times New Roman" w:cs="Times New Roman"/>
          <w:color w:val="454E72"/>
          <w:sz w:val="28"/>
          <w:szCs w:val="28"/>
          <w:lang w:eastAsia="ru-RU"/>
        </w:rPr>
        <w:t>49</w:t>
      </w:r>
      <w:r w:rsidR="002E6FC2">
        <w:rPr>
          <w:rFonts w:ascii="Times New Roman" w:eastAsia="Times New Roman" w:hAnsi="Times New Roman" w:cs="Times New Roman"/>
          <w:color w:val="454E72"/>
          <w:sz w:val="28"/>
          <w:szCs w:val="28"/>
          <w:lang w:eastAsia="ru-RU"/>
        </w:rPr>
        <w:t>.</w:t>
      </w:r>
      <w:bookmarkStart w:id="0" w:name="_GoBack"/>
      <w:bookmarkEnd w:id="0"/>
    </w:p>
    <w:p w:rsidR="008323EA" w:rsidRDefault="008323EA"/>
    <w:sectPr w:rsidR="00832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618F2"/>
    <w:multiLevelType w:val="multilevel"/>
    <w:tmpl w:val="6F0C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B22DFD"/>
    <w:multiLevelType w:val="multilevel"/>
    <w:tmpl w:val="F8E8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EA71B5"/>
    <w:multiLevelType w:val="multilevel"/>
    <w:tmpl w:val="E786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2811A9"/>
    <w:multiLevelType w:val="multilevel"/>
    <w:tmpl w:val="73D0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FC"/>
    <w:rsid w:val="002E6FC2"/>
    <w:rsid w:val="007177FC"/>
    <w:rsid w:val="008323EA"/>
    <w:rsid w:val="00BF1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653769">
      <w:bodyDiv w:val="1"/>
      <w:marLeft w:val="0"/>
      <w:marRight w:val="0"/>
      <w:marTop w:val="0"/>
      <w:marBottom w:val="0"/>
      <w:divBdr>
        <w:top w:val="none" w:sz="0" w:space="0" w:color="auto"/>
        <w:left w:val="none" w:sz="0" w:space="0" w:color="auto"/>
        <w:bottom w:val="none" w:sz="0" w:space="0" w:color="auto"/>
        <w:right w:val="none" w:sz="0" w:space="0" w:color="auto"/>
      </w:divBdr>
      <w:divsChild>
        <w:div w:id="459034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Покупатель</dc:creator>
  <cp:lastModifiedBy>Покупатель</cp:lastModifiedBy>
  <cp:revision>2</cp:revision>
  <dcterms:created xsi:type="dcterms:W3CDTF">2024-11-01T12:44:00Z</dcterms:created>
  <dcterms:modified xsi:type="dcterms:W3CDTF">2024-11-01T12:44:00Z</dcterms:modified>
</cp:coreProperties>
</file>