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5"/>
      </w:tblGrid>
      <w:tr w:rsidR="00AA51AF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AA51AF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профсоюзным комитетом государственного учреждения «Ветковский районный центр гигиены и эпидемиологии»</w:t>
            </w:r>
          </w:p>
          <w:p w:rsidR="0045214A" w:rsidRDefault="00C32B34" w:rsidP="00AA51A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</w:t>
            </w:r>
            <w:r w:rsidR="00AA51AF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7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</w:t>
            </w:r>
            <w:r w:rsidR="00AA51AF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5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</w:t>
            </w:r>
            <w:r w:rsidR="00AA51AF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_11___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45214A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22D47"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</w:t>
            </w:r>
            <w:r w:rsidR="00AA51AF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государственное учреждение «Ветковский районный центр гигиены и эпидемиологии»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находящейся на </w:t>
            </w:r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профобслуживании в Гомельской областной организации Белорусского профессионального союза работников здравоохранения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AA51AF">
        <w:rPr>
          <w:rFonts w:ascii="Times New Roman" w:hAnsi="Times New Roman" w:cs="Times New Roman"/>
          <w:sz w:val="30"/>
          <w:szCs w:val="30"/>
        </w:rPr>
        <w:t>государственного учреждения «Ветковский районный центр гигиены и эпидемиологии»</w:t>
      </w:r>
      <w:r w:rsidR="00C32B34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741142">
        <w:rPr>
          <w:rFonts w:ascii="Times New Roman" w:hAnsi="Times New Roman" w:cs="Times New Roman"/>
          <w:sz w:val="30"/>
          <w:szCs w:val="30"/>
        </w:rPr>
        <w:t>247131, г.Ветка ул.Октябрьская,24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Pr="00741142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741142" w:rsidRPr="00741142">
        <w:rPr>
          <w:rFonts w:ascii="Arial" w:hAnsi="Arial" w:cs="Arial"/>
          <w:sz w:val="18"/>
          <w:szCs w:val="18"/>
        </w:rPr>
        <w:t xml:space="preserve"> </w:t>
      </w:r>
      <w:r w:rsidR="00741142" w:rsidRPr="00741142">
        <w:rPr>
          <w:rFonts w:ascii="Times New Roman" w:hAnsi="Times New Roman" w:cs="Times New Roman"/>
          <w:sz w:val="28"/>
          <w:szCs w:val="28"/>
        </w:rPr>
        <w:t>vetka@gmlocge.by</w:t>
      </w:r>
      <w:r w:rsidR="00741142" w:rsidRPr="00741142">
        <w:rPr>
          <w:rStyle w:val="20"/>
          <w:rFonts w:eastAsiaTheme="minorHAnsi"/>
          <w:color w:val="000000" w:themeColor="text1"/>
          <w:szCs w:val="28"/>
        </w:rPr>
        <w:t xml:space="preserve"> </w:t>
      </w:r>
      <w:r w:rsidR="00F335B3" w:rsidRPr="007411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1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2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3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</w:t>
      </w:r>
      <w:bookmarkStart w:id="4" w:name="_GoBack"/>
      <w:bookmarkEnd w:id="4"/>
      <w:r w:rsidRPr="002B7B8A">
        <w:rPr>
          <w:rFonts w:ascii="Times New Roman" w:hAnsi="Times New Roman" w:cs="Times New Roman"/>
          <w:sz w:val="30"/>
          <w:szCs w:val="30"/>
        </w:rPr>
        <w:t>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AA51AF" w:rsidRPr="00AA51AF">
        <w:rPr>
          <w:rFonts w:ascii="Times New Roman" w:hAnsi="Times New Roman" w:cs="Times New Roman"/>
          <w:sz w:val="30"/>
          <w:szCs w:val="30"/>
        </w:rPr>
        <w:t xml:space="preserve"> </w:t>
      </w:r>
      <w:r w:rsidR="00AA51AF" w:rsidRPr="00741142">
        <w:rPr>
          <w:rFonts w:ascii="Times New Roman" w:hAnsi="Times New Roman" w:cs="Times New Roman"/>
          <w:b/>
          <w:sz w:val="28"/>
          <w:szCs w:val="28"/>
          <w:u w:val="single"/>
        </w:rPr>
        <w:t>vetka@gmlocge.by</w:t>
      </w:r>
      <w:r w:rsidR="00AA51AF" w:rsidRPr="007411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77" w:rsidRDefault="00A17D77" w:rsidP="006D0264">
      <w:pPr>
        <w:spacing w:after="0" w:line="240" w:lineRule="auto"/>
      </w:pPr>
      <w:r>
        <w:separator/>
      </w:r>
    </w:p>
  </w:endnote>
  <w:endnote w:type="continuationSeparator" w:id="0">
    <w:p w:rsidR="00A17D77" w:rsidRDefault="00A17D7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77" w:rsidRDefault="00A17D77" w:rsidP="006D0264">
      <w:pPr>
        <w:spacing w:after="0" w:line="240" w:lineRule="auto"/>
      </w:pPr>
      <w:r>
        <w:separator/>
      </w:r>
    </w:p>
  </w:footnote>
  <w:footnote w:type="continuationSeparator" w:id="0">
    <w:p w:rsidR="00A17D77" w:rsidRDefault="00A17D7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42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1142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A51AF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1CD0F4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741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411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C0EA-D82E-4440-9164-2A549C5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2</cp:revision>
  <cp:lastPrinted>2022-05-18T06:09:00Z</cp:lastPrinted>
  <dcterms:created xsi:type="dcterms:W3CDTF">2022-05-18T06:11:00Z</dcterms:created>
  <dcterms:modified xsi:type="dcterms:W3CDTF">2022-05-18T06:11:00Z</dcterms:modified>
</cp:coreProperties>
</file>