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BFC5" w14:textId="77777777" w:rsidR="009134E7" w:rsidRDefault="00EC7CB4">
      <w:r>
        <w:t xml:space="preserve">Профилактика иерсиниоза </w:t>
      </w:r>
    </w:p>
    <w:tbl>
      <w:tblPr>
        <w:tblStyle w:val="TableGrid"/>
        <w:tblW w:w="9853" w:type="dxa"/>
        <w:tblInd w:w="154" w:type="dxa"/>
        <w:tblCellMar>
          <w:top w:w="3" w:type="dxa"/>
          <w:left w:w="107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972"/>
        <w:gridCol w:w="79"/>
        <w:gridCol w:w="1927"/>
        <w:gridCol w:w="2149"/>
        <w:gridCol w:w="143"/>
        <w:gridCol w:w="1720"/>
        <w:gridCol w:w="1863"/>
      </w:tblGrid>
      <w:tr w:rsidR="009134E7" w14:paraId="1A11C109" w14:textId="77777777" w:rsidTr="00EC7CB4">
        <w:trPr>
          <w:trHeight w:val="1959"/>
        </w:trPr>
        <w:tc>
          <w:tcPr>
            <w:tcW w:w="2051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bottom"/>
          </w:tcPr>
          <w:p w14:paraId="61069C7D" w14:textId="77777777" w:rsidR="009134E7" w:rsidRDefault="00EC7CB4">
            <w:pPr>
              <w:ind w:left="0" w:right="106"/>
              <w:jc w:val="right"/>
            </w:pPr>
            <w:r>
              <w:rPr>
                <w:noProof/>
              </w:rPr>
              <w:drawing>
                <wp:inline distT="0" distB="0" distL="0" distR="0" wp14:anchorId="01F4195F" wp14:editId="0C7DFD6C">
                  <wp:extent cx="1001268" cy="1019556"/>
                  <wp:effectExtent l="0" t="0" r="0" b="0"/>
                  <wp:docPr id="249" name="Picture 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268" cy="1019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801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AE62E4" w14:textId="77777777" w:rsidR="009134E7" w:rsidRDefault="00EC7CB4">
            <w:pPr>
              <w:spacing w:line="281" w:lineRule="auto"/>
              <w:ind w:left="1" w:right="68"/>
              <w:jc w:val="both"/>
            </w:pPr>
            <w:r>
              <w:rPr>
                <w:b w:val="0"/>
                <w:sz w:val="24"/>
              </w:rPr>
              <w:t>Острое инфекционное заболевание, характеризующееся поражением желудочно-кишечного тракта, опорно-двигательного аппарата, общей интоксикацией, кожной сыпью.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b w:val="0"/>
                <w:sz w:val="24"/>
              </w:rPr>
              <w:t>Инфекция встречается круглогодично, но осенью и зимой случаев заболевания отмечается больше.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 </w:t>
            </w:r>
          </w:p>
          <w:p w14:paraId="1E14ABDB" w14:textId="77777777" w:rsidR="009134E7" w:rsidRDefault="00EC7CB4">
            <w:pPr>
              <w:ind w:left="1" w:right="71"/>
              <w:jc w:val="both"/>
            </w:pPr>
            <w:r>
              <w:rPr>
                <w:b w:val="0"/>
                <w:sz w:val="24"/>
              </w:rPr>
              <w:t xml:space="preserve">Всего у человека вызывают болезни три вида </w:t>
            </w:r>
            <w:proofErr w:type="spellStart"/>
            <w:r>
              <w:rPr>
                <w:b w:val="0"/>
                <w:sz w:val="24"/>
              </w:rPr>
              <w:t>иерсиний</w:t>
            </w:r>
            <w:proofErr w:type="spellEnd"/>
            <w:r>
              <w:rPr>
                <w:b w:val="0"/>
                <w:sz w:val="24"/>
              </w:rPr>
              <w:t xml:space="preserve">, одна из которых становится причиной кишечного иерсиниоза. Ее название </w:t>
            </w:r>
            <w:proofErr w:type="spellStart"/>
            <w:r>
              <w:rPr>
                <w:b w:val="0"/>
                <w:sz w:val="24"/>
              </w:rPr>
              <w:t>Yersinia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enterocolitica</w:t>
            </w:r>
            <w:proofErr w:type="spellEnd"/>
            <w:r>
              <w:rPr>
                <w:b w:val="0"/>
                <w:sz w:val="24"/>
              </w:rPr>
              <w:t xml:space="preserve"> («</w:t>
            </w:r>
            <w:proofErr w:type="spellStart"/>
            <w:r>
              <w:rPr>
                <w:b w:val="0"/>
                <w:sz w:val="24"/>
              </w:rPr>
              <w:t>иерсиния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энт</w:t>
            </w:r>
            <w:r>
              <w:rPr>
                <w:b w:val="0"/>
                <w:sz w:val="24"/>
              </w:rPr>
              <w:t>ероколитика</w:t>
            </w:r>
            <w:proofErr w:type="spellEnd"/>
            <w:r>
              <w:rPr>
                <w:b w:val="0"/>
                <w:sz w:val="24"/>
              </w:rPr>
              <w:t>»)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9134E7" w14:paraId="3C74B63F" w14:textId="77777777" w:rsidTr="00EC7CB4">
        <w:trPr>
          <w:trHeight w:val="2516"/>
        </w:trPr>
        <w:tc>
          <w:tcPr>
            <w:tcW w:w="2051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bottom"/>
          </w:tcPr>
          <w:p w14:paraId="36272CE5" w14:textId="77777777" w:rsidR="009134E7" w:rsidRDefault="00EC7CB4">
            <w:pPr>
              <w:ind w:left="0" w:right="91"/>
              <w:jc w:val="right"/>
            </w:pPr>
            <w:r>
              <w:rPr>
                <w:noProof/>
              </w:rPr>
              <w:drawing>
                <wp:inline distT="0" distB="0" distL="0" distR="0" wp14:anchorId="586FDCA5" wp14:editId="5670908E">
                  <wp:extent cx="1028700" cy="1022604"/>
                  <wp:effectExtent l="0" t="0" r="0" b="0"/>
                  <wp:docPr id="251" name="Picture 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Picture 2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2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801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7F210A1" w14:textId="77777777" w:rsidR="009134E7" w:rsidRDefault="00EC7CB4">
            <w:pPr>
              <w:ind w:left="1" w:right="64"/>
              <w:jc w:val="both"/>
            </w:pPr>
            <w:r>
              <w:rPr>
                <w:b w:val="0"/>
                <w:sz w:val="24"/>
              </w:rPr>
              <w:t>Естественным резервуаром являются дикие мелкие млекопитающие (полевки, мыши, землеройки-бурозубки, песчанки, суслики). Возбудители, обычно обитают в желудочно-</w:t>
            </w:r>
            <w:r>
              <w:rPr>
                <w:b w:val="0"/>
                <w:sz w:val="24"/>
              </w:rPr>
              <w:t>кишечном тракте, выделяются в окружающую среду с фекалиями, что обуславливает загрязнение почвы, воды, овощей, фруктов, территорий овощехранилищ, теплиц, продовольственных рынков, складских и гаражных помещений. Через инфицированные (загрязненные) продукты</w:t>
            </w:r>
            <w:r>
              <w:rPr>
                <w:b w:val="0"/>
                <w:sz w:val="24"/>
              </w:rPr>
              <w:t xml:space="preserve">, воду происходит дальнейшее заражение человека, домашних и сельскохозяйственных животных.  </w:t>
            </w:r>
          </w:p>
        </w:tc>
      </w:tr>
      <w:tr w:rsidR="009134E7" w14:paraId="01DED8E7" w14:textId="77777777" w:rsidTr="00EC7CB4">
        <w:trPr>
          <w:trHeight w:val="1959"/>
        </w:trPr>
        <w:tc>
          <w:tcPr>
            <w:tcW w:w="2051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bottom"/>
          </w:tcPr>
          <w:p w14:paraId="64806CD8" w14:textId="77777777" w:rsidR="009134E7" w:rsidRDefault="00EC7CB4">
            <w:pPr>
              <w:ind w:left="0" w:right="84"/>
              <w:jc w:val="right"/>
            </w:pPr>
            <w:r>
              <w:rPr>
                <w:noProof/>
              </w:rPr>
              <w:drawing>
                <wp:inline distT="0" distB="0" distL="0" distR="0" wp14:anchorId="37667459" wp14:editId="708A4F39">
                  <wp:extent cx="1037844" cy="1053084"/>
                  <wp:effectExtent l="0" t="0" r="0" b="0"/>
                  <wp:docPr id="253" name="Picture 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844" cy="1053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801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DDC9221" w14:textId="77777777" w:rsidR="009134E7" w:rsidRDefault="00EC7CB4">
            <w:pPr>
              <w:ind w:left="1" w:right="65"/>
              <w:jc w:val="both"/>
            </w:pPr>
            <w:r>
              <w:rPr>
                <w:b w:val="0"/>
                <w:sz w:val="24"/>
              </w:rPr>
              <w:t xml:space="preserve">Часто оказываются обсемененными </w:t>
            </w:r>
            <w:proofErr w:type="spellStart"/>
            <w:r>
              <w:rPr>
                <w:b w:val="0"/>
                <w:sz w:val="24"/>
              </w:rPr>
              <w:t>иерсиниями</w:t>
            </w:r>
            <w:proofErr w:type="spellEnd"/>
            <w:r>
              <w:rPr>
                <w:b w:val="0"/>
                <w:sz w:val="24"/>
              </w:rPr>
              <w:t xml:space="preserve"> квашеные и соленые овощи, огурцы и помидоры, зелень, цитрусовые, фрукты. Чем дольше хранятся инфицированные овощи и </w:t>
            </w:r>
            <w:r>
              <w:rPr>
                <w:b w:val="0"/>
                <w:sz w:val="24"/>
              </w:rPr>
              <w:t xml:space="preserve">фрукты, тем больше </w:t>
            </w:r>
            <w:proofErr w:type="spellStart"/>
            <w:r>
              <w:rPr>
                <w:b w:val="0"/>
                <w:sz w:val="24"/>
              </w:rPr>
              <w:t>иерсиний</w:t>
            </w:r>
            <w:proofErr w:type="spellEnd"/>
            <w:r>
              <w:rPr>
                <w:b w:val="0"/>
                <w:sz w:val="24"/>
              </w:rPr>
              <w:t xml:space="preserve"> сохранится и размножится на их поверхности. Иногда оказываются обсемененными поверхность хлебобулочных изделий, яиц, мяса. Обычно это происходит при их неправильном хранении и производстве рядом с инфицированными продуктами. </w:t>
            </w:r>
          </w:p>
        </w:tc>
      </w:tr>
      <w:tr w:rsidR="009134E7" w14:paraId="281AE9D9" w14:textId="77777777" w:rsidTr="00EC7CB4">
        <w:trPr>
          <w:trHeight w:val="288"/>
        </w:trPr>
        <w:tc>
          <w:tcPr>
            <w:tcW w:w="9853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D33D262" w14:textId="77777777" w:rsidR="009134E7" w:rsidRDefault="00EC7CB4">
            <w:pPr>
              <w:ind w:left="0" w:right="68"/>
              <w:jc w:val="center"/>
            </w:pPr>
            <w:r>
              <w:rPr>
                <w:sz w:val="24"/>
              </w:rPr>
              <w:t xml:space="preserve">Как протекает заболевание </w:t>
            </w:r>
          </w:p>
        </w:tc>
      </w:tr>
      <w:tr w:rsidR="009134E7" w14:paraId="5BD128BD" w14:textId="77777777" w:rsidTr="00EC7CB4">
        <w:trPr>
          <w:trHeight w:val="2523"/>
        </w:trPr>
        <w:tc>
          <w:tcPr>
            <w:tcW w:w="6270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B89F80F" w14:textId="77777777" w:rsidR="009134E7" w:rsidRDefault="00EC7CB4">
            <w:pPr>
              <w:numPr>
                <w:ilvl w:val="0"/>
                <w:numId w:val="1"/>
              </w:numPr>
              <w:spacing w:after="5"/>
              <w:ind w:right="34"/>
              <w:jc w:val="both"/>
            </w:pPr>
            <w:r>
              <w:rPr>
                <w:b w:val="0"/>
                <w:sz w:val="24"/>
              </w:rPr>
              <w:t xml:space="preserve">начинается остро, через 1−5 дней после заражения </w:t>
            </w:r>
          </w:p>
          <w:p w14:paraId="66FE2333" w14:textId="77777777" w:rsidR="009134E7" w:rsidRDefault="00EC7CB4">
            <w:pPr>
              <w:numPr>
                <w:ilvl w:val="0"/>
                <w:numId w:val="1"/>
              </w:numPr>
              <w:spacing w:after="47" w:line="257" w:lineRule="auto"/>
              <w:ind w:right="34"/>
              <w:jc w:val="both"/>
            </w:pPr>
            <w:r>
              <w:rPr>
                <w:b w:val="0"/>
                <w:sz w:val="24"/>
              </w:rPr>
              <w:t xml:space="preserve">появляются недомогание, слабость, озноб, головная боль, боль в мышцах и суставах, снижается аппетит, першит в горле, нарушается сон  </w:t>
            </w:r>
          </w:p>
          <w:p w14:paraId="3E994DDE" w14:textId="77777777" w:rsidR="009134E7" w:rsidRDefault="00EC7CB4">
            <w:pPr>
              <w:numPr>
                <w:ilvl w:val="0"/>
                <w:numId w:val="1"/>
              </w:numPr>
              <w:spacing w:after="5"/>
              <w:ind w:right="34"/>
              <w:jc w:val="both"/>
            </w:pPr>
            <w:r>
              <w:rPr>
                <w:b w:val="0"/>
                <w:sz w:val="24"/>
              </w:rPr>
              <w:t>температура может повышаться до 39−40 градус</w:t>
            </w:r>
            <w:r>
              <w:rPr>
                <w:b w:val="0"/>
                <w:sz w:val="24"/>
              </w:rPr>
              <w:t xml:space="preserve">ов </w:t>
            </w:r>
          </w:p>
          <w:p w14:paraId="1A4D1E89" w14:textId="77777777" w:rsidR="009134E7" w:rsidRDefault="00EC7CB4">
            <w:pPr>
              <w:numPr>
                <w:ilvl w:val="0"/>
                <w:numId w:val="1"/>
              </w:numPr>
              <w:ind w:right="34"/>
              <w:jc w:val="both"/>
            </w:pPr>
            <w:r>
              <w:rPr>
                <w:b w:val="0"/>
                <w:sz w:val="24"/>
              </w:rPr>
              <w:t xml:space="preserve">могут присоединиться боли в животе, рвота, понос, боли в суставах, на коже появляется мелкая точечная сыпь, желтушность </w:t>
            </w:r>
          </w:p>
        </w:tc>
        <w:tc>
          <w:tcPr>
            <w:tcW w:w="358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bottom"/>
          </w:tcPr>
          <w:p w14:paraId="1B991BEE" w14:textId="77777777" w:rsidR="009134E7" w:rsidRDefault="00EC7CB4">
            <w:pPr>
              <w:ind w:left="0"/>
              <w:jc w:val="right"/>
            </w:pPr>
            <w:r>
              <w:rPr>
                <w:noProof/>
              </w:rPr>
              <w:drawing>
                <wp:inline distT="0" distB="0" distL="0" distR="0" wp14:anchorId="050E3632" wp14:editId="0D41D2A4">
                  <wp:extent cx="2116836" cy="1580388"/>
                  <wp:effectExtent l="0" t="0" r="0" b="0"/>
                  <wp:docPr id="255" name="Picture 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836" cy="1580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9134E7" w14:paraId="72E6DB6E" w14:textId="77777777" w:rsidTr="00EC7CB4">
        <w:trPr>
          <w:trHeight w:val="288"/>
        </w:trPr>
        <w:tc>
          <w:tcPr>
            <w:tcW w:w="9853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214CC1B" w14:textId="77777777" w:rsidR="009134E7" w:rsidRDefault="00EC7CB4">
            <w:pPr>
              <w:ind w:left="0" w:right="68"/>
              <w:jc w:val="center"/>
            </w:pPr>
            <w:r>
              <w:rPr>
                <w:sz w:val="24"/>
              </w:rPr>
              <w:t xml:space="preserve">Профилактика </w:t>
            </w:r>
          </w:p>
        </w:tc>
      </w:tr>
      <w:tr w:rsidR="009134E7" w14:paraId="7F236055" w14:textId="77777777" w:rsidTr="00EC7CB4">
        <w:trPr>
          <w:trHeight w:val="1676"/>
        </w:trPr>
        <w:tc>
          <w:tcPr>
            <w:tcW w:w="197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bottom"/>
          </w:tcPr>
          <w:p w14:paraId="1D7D10F0" w14:textId="77777777" w:rsidR="009134E7" w:rsidRDefault="00EC7CB4">
            <w:pPr>
              <w:ind w:left="0" w:right="82"/>
              <w:jc w:val="right"/>
            </w:pPr>
            <w:r>
              <w:rPr>
                <w:noProof/>
              </w:rPr>
              <w:drawing>
                <wp:inline distT="0" distB="0" distL="0" distR="0" wp14:anchorId="313A9314" wp14:editId="2F293444">
                  <wp:extent cx="1008888" cy="1028700"/>
                  <wp:effectExtent l="0" t="0" r="0" b="0"/>
                  <wp:docPr id="257" name="Picture 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006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bottom"/>
          </w:tcPr>
          <w:p w14:paraId="61FF890C" w14:textId="77777777" w:rsidR="009134E7" w:rsidRDefault="00EC7CB4">
            <w:pPr>
              <w:ind w:left="0" w:right="82"/>
              <w:jc w:val="right"/>
            </w:pPr>
            <w:r>
              <w:rPr>
                <w:noProof/>
              </w:rPr>
              <w:drawing>
                <wp:inline distT="0" distB="0" distL="0" distR="0" wp14:anchorId="5AC6F1EA" wp14:editId="1D3B765A">
                  <wp:extent cx="1028700" cy="1039368"/>
                  <wp:effectExtent l="0" t="0" r="0" b="0"/>
                  <wp:docPr id="259" name="Picture 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3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1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bottom"/>
          </w:tcPr>
          <w:p w14:paraId="2339849A" w14:textId="77777777" w:rsidR="009134E7" w:rsidRDefault="00EC7CB4">
            <w:pPr>
              <w:ind w:left="0" w:right="168"/>
              <w:jc w:val="right"/>
            </w:pPr>
            <w:r>
              <w:rPr>
                <w:noProof/>
              </w:rPr>
              <w:drawing>
                <wp:inline distT="0" distB="0" distL="0" distR="0" wp14:anchorId="0D381418" wp14:editId="3B679571">
                  <wp:extent cx="1010412" cy="1019556"/>
                  <wp:effectExtent l="0" t="0" r="0" b="0"/>
                  <wp:docPr id="261" name="Picture 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412" cy="1019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6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bottom"/>
          </w:tcPr>
          <w:p w14:paraId="70A0C95B" w14:textId="77777777" w:rsidR="009134E7" w:rsidRDefault="00EC7CB4">
            <w:pPr>
              <w:ind w:left="0" w:right="12"/>
              <w:jc w:val="right"/>
            </w:pPr>
            <w:r>
              <w:rPr>
                <w:noProof/>
              </w:rPr>
              <w:drawing>
                <wp:inline distT="0" distB="0" distL="0" distR="0" wp14:anchorId="0FDCD6C9" wp14:editId="2628A27B">
                  <wp:extent cx="1019556" cy="1028700"/>
                  <wp:effectExtent l="0" t="0" r="0" b="0"/>
                  <wp:docPr id="263" name="Picture 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556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bottom"/>
          </w:tcPr>
          <w:p w14:paraId="635997DA" w14:textId="77777777" w:rsidR="009134E7" w:rsidRDefault="00EC7CB4">
            <w:pPr>
              <w:ind w:left="0" w:right="10"/>
              <w:jc w:val="right"/>
            </w:pPr>
            <w:r>
              <w:rPr>
                <w:noProof/>
              </w:rPr>
              <w:drawing>
                <wp:inline distT="0" distB="0" distL="0" distR="0" wp14:anchorId="7FEE0AC4" wp14:editId="6A200958">
                  <wp:extent cx="1018032" cy="1039368"/>
                  <wp:effectExtent l="0" t="0" r="0" b="0"/>
                  <wp:docPr id="265" name="Picture 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032" cy="103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9134E7" w14:paraId="4C39667E" w14:textId="77777777" w:rsidTr="00EC7CB4">
        <w:trPr>
          <w:trHeight w:val="2795"/>
        </w:trPr>
        <w:tc>
          <w:tcPr>
            <w:tcW w:w="197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B338A6D" w14:textId="77777777" w:rsidR="009134E7" w:rsidRDefault="00EC7CB4">
            <w:pPr>
              <w:ind w:left="83"/>
            </w:pPr>
            <w:r>
              <w:rPr>
                <w:b w:val="0"/>
                <w:sz w:val="24"/>
              </w:rPr>
              <w:t xml:space="preserve">сырые овощи и </w:t>
            </w:r>
          </w:p>
          <w:p w14:paraId="535240A7" w14:textId="77777777" w:rsidR="009134E7" w:rsidRDefault="00EC7CB4">
            <w:pPr>
              <w:spacing w:line="238" w:lineRule="auto"/>
              <w:ind w:left="0"/>
              <w:jc w:val="center"/>
            </w:pPr>
            <w:r>
              <w:rPr>
                <w:b w:val="0"/>
                <w:sz w:val="24"/>
              </w:rPr>
              <w:t xml:space="preserve">корнеплоды перед </w:t>
            </w:r>
          </w:p>
          <w:p w14:paraId="15872455" w14:textId="77777777" w:rsidR="009134E7" w:rsidRDefault="00EC7CB4">
            <w:pPr>
              <w:ind w:left="88"/>
            </w:pPr>
            <w:r>
              <w:rPr>
                <w:b w:val="0"/>
                <w:sz w:val="24"/>
              </w:rPr>
              <w:t xml:space="preserve">употреблением </w:t>
            </w:r>
          </w:p>
          <w:p w14:paraId="7C89864D" w14:textId="77777777" w:rsidR="009134E7" w:rsidRDefault="00EC7CB4">
            <w:pPr>
              <w:ind w:left="30"/>
            </w:pPr>
            <w:r>
              <w:rPr>
                <w:b w:val="0"/>
                <w:sz w:val="24"/>
              </w:rPr>
              <w:t xml:space="preserve">тщательно мыть </w:t>
            </w:r>
          </w:p>
          <w:p w14:paraId="42F2255E" w14:textId="77777777" w:rsidR="009134E7" w:rsidRDefault="00EC7CB4">
            <w:pPr>
              <w:spacing w:line="238" w:lineRule="auto"/>
              <w:ind w:left="0"/>
              <w:jc w:val="center"/>
            </w:pPr>
            <w:r>
              <w:rPr>
                <w:b w:val="0"/>
                <w:sz w:val="24"/>
              </w:rPr>
              <w:t xml:space="preserve">теплой водой, затем </w:t>
            </w:r>
          </w:p>
          <w:p w14:paraId="5E90687B" w14:textId="77777777" w:rsidR="009134E7" w:rsidRDefault="00EC7CB4">
            <w:pPr>
              <w:ind w:left="0"/>
              <w:jc w:val="center"/>
            </w:pPr>
            <w:r>
              <w:rPr>
                <w:b w:val="0"/>
                <w:sz w:val="24"/>
              </w:rPr>
              <w:t xml:space="preserve">ошпаривать кипятком </w:t>
            </w:r>
          </w:p>
        </w:tc>
        <w:tc>
          <w:tcPr>
            <w:tcW w:w="2006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5050EA6" w14:textId="77777777" w:rsidR="009134E7" w:rsidRDefault="00EC7CB4">
            <w:pPr>
              <w:ind w:left="47" w:right="114" w:firstLine="118"/>
              <w:jc w:val="both"/>
            </w:pPr>
            <w:r>
              <w:rPr>
                <w:b w:val="0"/>
                <w:sz w:val="24"/>
              </w:rPr>
              <w:t xml:space="preserve">употреблять в пищу только кипяченую воду </w:t>
            </w:r>
          </w:p>
        </w:tc>
        <w:tc>
          <w:tcPr>
            <w:tcW w:w="21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0FD997" w14:textId="77777777" w:rsidR="009134E7" w:rsidRDefault="00EC7CB4">
            <w:pPr>
              <w:ind w:left="1"/>
              <w:jc w:val="both"/>
            </w:pPr>
            <w:r>
              <w:rPr>
                <w:b w:val="0"/>
                <w:sz w:val="24"/>
              </w:rPr>
              <w:t xml:space="preserve">раздельно хранить </w:t>
            </w:r>
          </w:p>
          <w:p w14:paraId="111B1CD2" w14:textId="77777777" w:rsidR="009134E7" w:rsidRDefault="00EC7CB4">
            <w:pPr>
              <w:spacing w:line="258" w:lineRule="auto"/>
              <w:ind w:left="25" w:hanging="25"/>
              <w:jc w:val="center"/>
            </w:pPr>
            <w:r>
              <w:rPr>
                <w:b w:val="0"/>
                <w:sz w:val="24"/>
              </w:rPr>
              <w:t xml:space="preserve">сырую и готовую продукцию; соблюдать </w:t>
            </w:r>
          </w:p>
          <w:p w14:paraId="582D6926" w14:textId="77777777" w:rsidR="009134E7" w:rsidRDefault="00EC7CB4">
            <w:pPr>
              <w:ind w:left="0" w:right="67"/>
              <w:jc w:val="center"/>
            </w:pPr>
            <w:r>
              <w:rPr>
                <w:b w:val="0"/>
                <w:sz w:val="24"/>
              </w:rPr>
              <w:t xml:space="preserve">технологию </w:t>
            </w:r>
          </w:p>
          <w:p w14:paraId="6127ADDF" w14:textId="77777777" w:rsidR="009134E7" w:rsidRDefault="00EC7CB4">
            <w:pPr>
              <w:spacing w:line="275" w:lineRule="auto"/>
              <w:ind w:left="0"/>
              <w:jc w:val="center"/>
            </w:pPr>
            <w:r>
              <w:rPr>
                <w:b w:val="0"/>
                <w:sz w:val="24"/>
              </w:rPr>
              <w:t xml:space="preserve">приготовления блюд </w:t>
            </w:r>
          </w:p>
          <w:p w14:paraId="4A462066" w14:textId="77777777" w:rsidR="009134E7" w:rsidRDefault="00EC7CB4">
            <w:pPr>
              <w:ind w:left="0" w:right="5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6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F55C177" w14:textId="77777777" w:rsidR="009134E7" w:rsidRDefault="00EC7CB4">
            <w:pPr>
              <w:ind w:left="0" w:right="69"/>
              <w:jc w:val="center"/>
            </w:pPr>
            <w:r>
              <w:rPr>
                <w:b w:val="0"/>
                <w:sz w:val="24"/>
              </w:rPr>
              <w:t xml:space="preserve">хранить </w:t>
            </w:r>
          </w:p>
          <w:p w14:paraId="17EBFF53" w14:textId="77777777" w:rsidR="009134E7" w:rsidRDefault="00EC7CB4">
            <w:pPr>
              <w:spacing w:line="238" w:lineRule="auto"/>
              <w:ind w:left="0"/>
              <w:jc w:val="center"/>
            </w:pPr>
            <w:r>
              <w:rPr>
                <w:b w:val="0"/>
                <w:sz w:val="24"/>
              </w:rPr>
              <w:t xml:space="preserve">продукты в течение </w:t>
            </w:r>
          </w:p>
          <w:p w14:paraId="53AEC7D3" w14:textId="77777777" w:rsidR="009134E7" w:rsidRDefault="00EC7CB4">
            <w:pPr>
              <w:spacing w:after="42" w:line="238" w:lineRule="auto"/>
              <w:ind w:left="0"/>
              <w:jc w:val="center"/>
            </w:pPr>
            <w:proofErr w:type="spellStart"/>
            <w:r>
              <w:rPr>
                <w:b w:val="0"/>
                <w:sz w:val="24"/>
              </w:rPr>
              <w:t>рекомендованн</w:t>
            </w:r>
            <w:proofErr w:type="spellEnd"/>
            <w:r>
              <w:rPr>
                <w:b w:val="0"/>
                <w:sz w:val="24"/>
              </w:rPr>
              <w:t xml:space="preserve"> ого срока </w:t>
            </w:r>
          </w:p>
          <w:p w14:paraId="7334DE17" w14:textId="77777777" w:rsidR="009134E7" w:rsidRDefault="00EC7CB4">
            <w:pPr>
              <w:ind w:left="0" w:right="66"/>
              <w:jc w:val="center"/>
            </w:pPr>
            <w:r>
              <w:rPr>
                <w:b w:val="0"/>
                <w:sz w:val="24"/>
              </w:rPr>
              <w:t xml:space="preserve">годности; </w:t>
            </w:r>
          </w:p>
          <w:p w14:paraId="4E38FC89" w14:textId="77777777" w:rsidR="009134E7" w:rsidRDefault="00EC7CB4">
            <w:pPr>
              <w:spacing w:line="238" w:lineRule="auto"/>
              <w:ind w:left="0"/>
              <w:jc w:val="center"/>
            </w:pPr>
            <w:r>
              <w:rPr>
                <w:b w:val="0"/>
                <w:sz w:val="24"/>
              </w:rPr>
              <w:t xml:space="preserve">салаты есть только в </w:t>
            </w:r>
          </w:p>
          <w:p w14:paraId="7B3CE810" w14:textId="77777777" w:rsidR="009134E7" w:rsidRDefault="00EC7CB4">
            <w:pPr>
              <w:ind w:left="0"/>
              <w:jc w:val="center"/>
            </w:pPr>
            <w:proofErr w:type="spellStart"/>
            <w:r>
              <w:rPr>
                <w:b w:val="0"/>
                <w:sz w:val="24"/>
              </w:rPr>
              <w:t>свежеприготов</w:t>
            </w:r>
            <w:proofErr w:type="spellEnd"/>
            <w:r>
              <w:rPr>
                <w:b w:val="0"/>
                <w:sz w:val="24"/>
              </w:rPr>
              <w:t xml:space="preserve"> ленном виде </w:t>
            </w:r>
          </w:p>
        </w:tc>
        <w:tc>
          <w:tcPr>
            <w:tcW w:w="18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9F94E9" w14:textId="77777777" w:rsidR="009134E7" w:rsidRDefault="00EC7CB4">
            <w:pPr>
              <w:ind w:left="0" w:right="63"/>
              <w:jc w:val="center"/>
            </w:pPr>
            <w:r>
              <w:rPr>
                <w:b w:val="0"/>
                <w:sz w:val="24"/>
              </w:rPr>
              <w:t xml:space="preserve">разделочные </w:t>
            </w:r>
          </w:p>
          <w:p w14:paraId="0720AC74" w14:textId="77777777" w:rsidR="009134E7" w:rsidRDefault="00EC7CB4">
            <w:pPr>
              <w:ind w:left="121"/>
            </w:pPr>
            <w:r>
              <w:rPr>
                <w:b w:val="0"/>
                <w:sz w:val="24"/>
              </w:rPr>
              <w:t xml:space="preserve">доски и ножи </w:t>
            </w:r>
          </w:p>
          <w:p w14:paraId="0B8490A5" w14:textId="77777777" w:rsidR="009134E7" w:rsidRDefault="00EC7CB4">
            <w:pPr>
              <w:ind w:left="93"/>
            </w:pPr>
            <w:r>
              <w:rPr>
                <w:b w:val="0"/>
                <w:sz w:val="24"/>
              </w:rPr>
              <w:t xml:space="preserve">после нарезки </w:t>
            </w:r>
          </w:p>
          <w:p w14:paraId="77ADCDC0" w14:textId="77777777" w:rsidR="009134E7" w:rsidRDefault="00EC7CB4">
            <w:pPr>
              <w:spacing w:line="238" w:lineRule="auto"/>
              <w:ind w:left="0"/>
              <w:jc w:val="center"/>
            </w:pPr>
            <w:r>
              <w:rPr>
                <w:b w:val="0"/>
                <w:sz w:val="24"/>
              </w:rPr>
              <w:t xml:space="preserve">сырых овощей тщательно </w:t>
            </w:r>
          </w:p>
          <w:p w14:paraId="61BB2759" w14:textId="77777777" w:rsidR="009134E7" w:rsidRDefault="00EC7CB4">
            <w:pPr>
              <w:spacing w:after="21"/>
              <w:ind w:left="0" w:right="65"/>
              <w:jc w:val="center"/>
            </w:pPr>
            <w:r>
              <w:rPr>
                <w:b w:val="0"/>
                <w:sz w:val="24"/>
              </w:rPr>
              <w:t xml:space="preserve">промывать и </w:t>
            </w:r>
          </w:p>
          <w:p w14:paraId="63E1710C" w14:textId="77777777" w:rsidR="009134E7" w:rsidRDefault="00EC7CB4">
            <w:pPr>
              <w:ind w:left="143"/>
            </w:pPr>
            <w:r>
              <w:rPr>
                <w:b w:val="0"/>
                <w:sz w:val="24"/>
              </w:rPr>
              <w:t xml:space="preserve">просушивать </w:t>
            </w:r>
          </w:p>
          <w:p w14:paraId="5ABAD2E4" w14:textId="77777777" w:rsidR="009134E7" w:rsidRDefault="00EC7CB4">
            <w:pPr>
              <w:ind w:left="0" w:right="4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511DDEAB" w14:textId="77777777" w:rsidR="009134E7" w:rsidRDefault="00EC7CB4" w:rsidP="00EC7CB4">
      <w:pPr>
        <w:ind w:left="0"/>
      </w:pPr>
      <w:r>
        <w:t xml:space="preserve"> </w:t>
      </w:r>
    </w:p>
    <w:sectPr w:rsidR="009134E7" w:rsidSect="00EC7CB4">
      <w:pgSz w:w="11906" w:h="16838"/>
      <w:pgMar w:top="426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B0A7A"/>
    <w:multiLevelType w:val="hybridMultilevel"/>
    <w:tmpl w:val="37B8EBFC"/>
    <w:lvl w:ilvl="0" w:tplc="CE2C29CE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6088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4495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4A485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CEC8A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44E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4FAA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90B7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0E1B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4E7"/>
    <w:rsid w:val="009134E7"/>
    <w:rsid w:val="00E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27D1"/>
  <w15:docId w15:val="{0F7B7F19-D123-49D6-8589-AA0035A7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3097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</cp:revision>
  <dcterms:created xsi:type="dcterms:W3CDTF">2025-05-16T09:15:00Z</dcterms:created>
  <dcterms:modified xsi:type="dcterms:W3CDTF">2025-05-16T09:15:00Z</dcterms:modified>
</cp:coreProperties>
</file>